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89" w:rsidRPr="00F643FB" w:rsidRDefault="00D00089" w:rsidP="00D00089">
      <w:pPr>
        <w:spacing w:after="0" w:line="240" w:lineRule="auto"/>
        <w:ind w:left="4270" w:firstLine="770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Приложение № 6</w:t>
      </w:r>
    </w:p>
    <w:p w:rsidR="00D00089" w:rsidRPr="00F643FB" w:rsidRDefault="00D00089" w:rsidP="00D00089">
      <w:pPr>
        <w:spacing w:after="0" w:line="240" w:lineRule="auto"/>
        <w:ind w:left="4270" w:firstLine="770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към чл. 22, ал. 5</w:t>
      </w:r>
    </w:p>
    <w:p w:rsidR="00D00089" w:rsidRPr="00F643FB" w:rsidRDefault="00D00089" w:rsidP="00D00089">
      <w:pPr>
        <w:spacing w:after="0" w:line="240" w:lineRule="auto"/>
        <w:ind w:firstLine="77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00089" w:rsidRPr="00F643FB" w:rsidRDefault="00D00089" w:rsidP="00D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Изчисляване на ограждащите конструкции и елементи на влажностен режим (евентуален кондензационен пад)</w:t>
      </w:r>
    </w:p>
    <w:p w:rsidR="00D00089" w:rsidRPr="00F643FB" w:rsidRDefault="00D00089" w:rsidP="00D00089">
      <w:pPr>
        <w:spacing w:after="0" w:line="240" w:lineRule="auto"/>
        <w:ind w:firstLine="1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410B" w:rsidRPr="0083410B" w:rsidRDefault="0083410B" w:rsidP="0083410B">
      <w:pPr>
        <w:pStyle w:val="af2"/>
        <w:numPr>
          <w:ilvl w:val="0"/>
          <w:numId w:val="39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b/>
          <w:color w:val="000000"/>
          <w:szCs w:val="24"/>
          <w:lang w:val="bg-BG"/>
        </w:rPr>
      </w:pPr>
      <w:r w:rsidRPr="0083410B">
        <w:rPr>
          <w:rFonts w:ascii="Times New Roman" w:eastAsia="Times New Roman" w:hAnsi="Times New Roman"/>
          <w:b/>
          <w:color w:val="000000"/>
          <w:szCs w:val="24"/>
          <w:lang w:val="bg-BG"/>
        </w:rPr>
        <w:t>Изчисляване на влажностен режим на елементите на конструкцията на сгради.</w:t>
      </w:r>
    </w:p>
    <w:p w:rsidR="0083410B" w:rsidRPr="0083410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2" w:right="142" w:firstLine="8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41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Сградните </w:t>
      </w:r>
      <w:r w:rsidRPr="008341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ограждащи елементи на конструкцията на отопляеми сгради (помещения) с продължителна относителна влажност на въздуха под 70 % се изчисляват на влажностен режим (евентуален кондензационен пад).</w:t>
      </w:r>
    </w:p>
    <w:p w:rsidR="0083410B" w:rsidRPr="0083410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2" w:right="142" w:firstLine="8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41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Външните ограждащи елементи на конструкцията, както и вътрешните елементи, граничещи с неотопляеми пространства, се изчисляват на евентуален кондензационен пад (кондензирана влага). Подовете и стените, граничещи със земята, не се изчисляват на кондензационен пад.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2" w:right="142" w:firstLine="8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41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Образуването на конденз по вътрешните повърхности на външните ограждащи елементи на конструкцията се предотвратява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ако техният коефициент на топлопреминаване удовлетворява условието: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</w:t>
      </w:r>
      <w:r w:rsidRPr="00F643FB">
        <w:rPr>
          <w:rFonts w:ascii="Times New Roman" w:eastAsia="Times New Roman" w:hAnsi="Times New Roman" w:cs="Times New Roman"/>
          <w:color w:val="000000"/>
          <w:position w:val="-30"/>
          <w:sz w:val="24"/>
          <w:szCs w:val="24"/>
          <w:lang w:eastAsia="bg-BG"/>
        </w:rPr>
        <w:object w:dxaOrig="2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135.85pt;height:36.85pt" o:ole="">
            <v:imagedata r:id="rId6" o:title=""/>
          </v:shape>
          <o:OLEObject Type="Embed" ProgID="Equation.DSMT4" ShapeID="_x0000_i1071" DrawAspect="Content" ObjectID="_1728028270" r:id="rId7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1.1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),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където: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</w:t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bg-BG"/>
        </w:rPr>
        <w:object w:dxaOrig="279" w:dyaOrig="380">
          <v:shape id="_x0000_i1072" type="#_x0000_t75" style="width:14.15pt;height:18pt" o:ole="">
            <v:imagedata r:id="rId8" o:title=""/>
          </v:shape>
          <o:OLEObject Type="Embed" ProgID="Equation.DSMT4" ShapeID="_x0000_i1072" DrawAspect="Content" ObjectID="_1728028271" r:id="rId9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температурата на оросяване (°C)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firstLine="9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</w:t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bg-BG"/>
        </w:rPr>
        <w:object w:dxaOrig="279" w:dyaOrig="360">
          <v:shape id="_x0000_i1073" type="#_x0000_t75" style="width:14.15pt;height:18pt" o:ole="">
            <v:imagedata r:id="rId10" o:title=""/>
          </v:shape>
          <o:OLEObject Type="Embed" ProgID="Equation.DSMT4" ShapeID="_x0000_i1073" DrawAspect="Content" ObjectID="_1728028272" r:id="rId11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коефициентът на топлопредаване на вътрешната повърхност.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Кондензиралите водни пари във вътрешността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ограждащите 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елементи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конструкцията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 причиняват вреда на структурата на материала, когато: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общата влажност на материала (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x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uk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'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), в структурата на който са кондензирали водни пари, в края на изчислителния период на дифузионно навлажняване е по-малка от максимално допустимата влажност (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x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max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):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bg-BG"/>
        </w:rPr>
        <w:object w:dxaOrig="2400" w:dyaOrig="400">
          <v:shape id="_x0000_i1074" type="#_x0000_t75" style="width:120pt;height:21.85pt" o:ole="">
            <v:imagedata r:id="rId12" o:title=""/>
          </v:shape>
          <o:OLEObject Type="Embed" ProgID="Equation.DSMT4" ShapeID="_x0000_i1074" DrawAspect="Content" ObjectID="_1728028273" r:id="rId13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1.2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),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където: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x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r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'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експлоатационната влажност, %;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bg-BG"/>
        </w:rPr>
        <w:object w:dxaOrig="580" w:dyaOrig="400">
          <v:shape id="_x0000_i1075" type="#_x0000_t75" style="width:30pt;height:21.85pt" o:ole="">
            <v:imagedata r:id="rId14" o:title=""/>
          </v:shape>
          <o:OLEObject Type="Embed" ProgID="Equation.DSMT4" ShapeID="_x0000_i1075" DrawAspect="Content" ObjectID="_1728028274" r:id="rId15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влажността на строителната конструкция в резултат на 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дифузионното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навлажняване, %;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количеството кондензирали водни пари в резултат на 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дифузионното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навлажняване </w:t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bg-BG"/>
        </w:rPr>
        <w:object w:dxaOrig="580" w:dyaOrig="400">
          <v:shape id="_x0000_i1076" type="#_x0000_t75" style="width:30pt;height:21.85pt" o:ole="">
            <v:imagedata r:id="rId14" o:title=""/>
          </v:shape>
          <o:OLEObject Type="Embed" ProgID="Equation.DSMT4" ShapeID="_x0000_i1076" DrawAspect="Content" ObjectID="_1728028275" r:id="rId16"/>
        </w:object>
      </w:r>
      <w:r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bg-BG"/>
        </w:rPr>
        <w:t xml:space="preserve"> 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изпарява през периода на съхнене на строителната конструкция.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Стойностите на 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x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r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'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на 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x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max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различни строителни продукти (материали) са съгласно табл. 2 на приложение № 4.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се допуска влагането на строителни продукти без данни за и в зони с очакван кондензационен пад.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Влажността на ограждащите елементи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конструкцията, 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резултат на 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дифузионното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навлажняване </w:t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bg-BG"/>
        </w:rPr>
        <w:object w:dxaOrig="580" w:dyaOrig="400">
          <v:shape id="_x0000_i1077" type="#_x0000_t75" style="width:30pt;height:21.85pt" o:ole="">
            <v:imagedata r:id="rId14" o:title=""/>
          </v:shape>
          <o:OLEObject Type="Embed" ProgID="Equation.DSMT4" ShapeID="_x0000_i1077" DrawAspect="Content" ObjectID="_1728028276" r:id="rId17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изчислява съгласно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тази част от методиката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сгради без климатични инсталации продължителността на периода на дифузионно навлажняване 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t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k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продължителността на периода на изпарение 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t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>u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кондензираната влага в ограждащите конструкции и елементи се приемат по 1440 h. За тези сгради съхненето се изчислява при следните условия: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</w:t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bg-BG"/>
        </w:rPr>
        <w:object w:dxaOrig="260" w:dyaOrig="380">
          <v:shape id="_x0000_i1078" type="#_x0000_t75" style="width:12pt;height:18pt" o:ole="">
            <v:imagedata r:id="rId18" o:title=""/>
          </v:shape>
          <o:OLEObject Type="Embed" ProgID="Equation.DSMT4" ShapeID="_x0000_i1078" DrawAspect="Content" ObjectID="_1728028277" r:id="rId19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= </w:t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bg-BG"/>
        </w:rPr>
        <w:object w:dxaOrig="300" w:dyaOrig="380">
          <v:shape id="_x0000_i1079" type="#_x0000_t75" style="width:15pt;height:18pt" o:ole="">
            <v:imagedata r:id="rId20" o:title=""/>
          </v:shape>
          <o:OLEObject Type="Embed" ProgID="Equation.DSMT4" ShapeID="_x0000_i1079" DrawAspect="Content" ObjectID="_1728028278" r:id="rId21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= 18 °C;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</w:t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bg-BG"/>
        </w:rPr>
        <w:object w:dxaOrig="300" w:dyaOrig="380">
          <v:shape id="_x0000_i1080" type="#_x0000_t75" style="width:15pt;height:18pt" o:ole="">
            <v:imagedata r:id="rId22" o:title=""/>
          </v:shape>
          <o:OLEObject Type="Embed" ProgID="Equation.DSMT4" ShapeID="_x0000_i1080" DrawAspect="Content" ObjectID="_1728028279" r:id="rId23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= 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bg-BG"/>
        </w:rPr>
        <w:t xml:space="preserve"> </w:t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bg-BG"/>
        </w:rPr>
        <w:object w:dxaOrig="340" w:dyaOrig="380">
          <v:shape id="_x0000_i1081" type="#_x0000_t75" style="width:18pt;height:18pt" o:ole="">
            <v:imagedata r:id="rId24" o:title=""/>
          </v:shape>
          <o:OLEObject Type="Embed" ProgID="Equation.DSMT4" ShapeID="_x0000_i1081" DrawAspect="Content" ObjectID="_1728028280" r:id="rId25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= 65 %;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където </w:t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bg-BG"/>
        </w:rPr>
        <w:object w:dxaOrig="300" w:dyaOrig="380">
          <v:shape id="_x0000_i1082" type="#_x0000_t75" style="width:15pt;height:18pt" o:ole="">
            <v:imagedata r:id="rId22" o:title=""/>
          </v:shape>
          <o:OLEObject Type="Embed" ProgID="Equation.DSMT4" ShapeID="_x0000_i1082" DrawAspect="Content" ObjectID="_1728028281" r:id="rId26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</w:t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bg-BG"/>
        </w:rPr>
        <w:object w:dxaOrig="340" w:dyaOrig="380">
          <v:shape id="_x0000_i1083" type="#_x0000_t75" style="width:18pt;height:18pt" o:ole="">
            <v:imagedata r:id="rId24" o:title=""/>
          </v:shape>
          <o:OLEObject Type="Embed" ProgID="Equation.DSMT4" ShapeID="_x0000_i1083" DrawAspect="Content" ObjectID="_1728028282" r:id="rId27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са съответно относителната влажност на вътрешния и външния въздух.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сгради с климатични инсталации или за сгради, в които генерирането на водна пара е технологично присъщо, съхненето на ограждащите конструкции и елементи се изчислява за действителната температура и относителна влажност на вътрешния и външния въздух, определени със заданието за проектиране.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Дифузионното навлажняване на сградните ограждащи конструкции и елементи през периода на кондензация се изчислява при следните условия: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при външна относителна влажност 90 %;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при температура на външния въздух </w:t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bg-BG"/>
        </w:rPr>
        <w:object w:dxaOrig="300" w:dyaOrig="380">
          <v:shape id="_x0000_i1084" type="#_x0000_t75" style="width:15pt;height:18pt" o:ole="">
            <v:imagedata r:id="rId20" o:title=""/>
          </v:shape>
          <o:OLEObject Type="Embed" ProgID="Equation.DSMT4" ShapeID="_x0000_i1084" DrawAspect="Content" ObjectID="_1728028283" r:id="rId28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а)  </w:t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bg-BG"/>
        </w:rPr>
        <w:object w:dxaOrig="300" w:dyaOrig="380">
          <v:shape id="_x0000_i1085" type="#_x0000_t75" style="width:15pt;height:18pt" o:ole="">
            <v:imagedata r:id="rId20" o:title=""/>
          </v:shape>
          <o:OLEObject Type="Embed" ProgID="Equation.DSMT4" ShapeID="_x0000_i1085" DrawAspect="Content" ObjectID="_1728028284" r:id="rId29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= 5 °С, когато външната проектна температура е по-висока от минус 8,5 °С;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б)  </w:t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bg-BG"/>
        </w:rPr>
        <w:object w:dxaOrig="300" w:dyaOrig="380">
          <v:shape id="_x0000_i1086" type="#_x0000_t75" style="width:15pt;height:18pt" o:ole="">
            <v:imagedata r:id="rId20" o:title=""/>
          </v:shape>
          <o:OLEObject Type="Embed" ProgID="Equation.DSMT4" ShapeID="_x0000_i1086" DrawAspect="Content" ObjectID="_1728028285" r:id="rId30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= - 5 °С, когато външната проектна температура е в границите от минус 8,5 °С до минус 14,5 °С;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в)  </w:t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bg-BG"/>
        </w:rPr>
        <w:object w:dxaOrig="300" w:dyaOrig="380">
          <v:shape id="_x0000_i1087" type="#_x0000_t75" style="width:15pt;height:18pt" o:ole="">
            <v:imagedata r:id="rId20" o:title=""/>
          </v:shape>
          <o:OLEObject Type="Embed" ProgID="Equation.DSMT4" ShapeID="_x0000_i1087" DrawAspect="Content" ObjectID="_1728028286" r:id="rId31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= - 10 °С, когато външната проектна температура е по-ниска от минус 14,5 °С.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нови сгради, д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анните за температурата и относителната влажност на вътрешния въздух за периода на навлажняване се определят в заданието за проектиране.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Въздухопропускливостта и водонепропускливостта на прозорци и врати трябва да удовлетворяват най-малко: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изискванията за клас 1 за въздухопропускливост съгласно БДС EN 12207 и за водонепропускливост съгласно БДС EN 1027, при свръхналягане с разлика 150 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или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изискванията за клас 2 за въздухопропускливост съгласно БДС EN 12207 и за водонепропускливост съгласно БДС EN 1027, при свръхналягане с разлика 300 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или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3. изискванията за клас 3 за въздухопропускливост съгласно БДС EN 12207 и за водонепропускливост съгласно БДС EN 1027, при свръхналягане с разлика 600 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Горепосочените и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зискв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ания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т. 1 се прилагат за прозорци и балконски врати в сгради с ниско застрояване, както и за външни врати на първия или втория 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етаж в сгради.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Горепосочените изисквания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т. 2 се прилагат за прозорци и балконски врати в сгради с ниско и средно застрояване, както и за външни врати на третия или четвъртия етаж в сгради.</w:t>
      </w:r>
    </w:p>
    <w:p w:rsidR="0083410B" w:rsidRPr="00F643FB" w:rsidRDefault="0083410B" w:rsidP="0083410B">
      <w:pPr>
        <w:widowControl w:val="0"/>
        <w:autoSpaceDE w:val="0"/>
        <w:autoSpaceDN w:val="0"/>
        <w:adjustRightInd w:val="0"/>
        <w:spacing w:after="12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Горепосочените изисквания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т. 3 се прилагат за прозорци и балконски врати в сгради с високо застрояване, както и за външни врати на петия или по-висок етаж в сгради.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Изискванията за водонепропускливост не се прилагат за прозорци и врати, чиято външна повърхност не е изложена на метеорологични въздействия.</w:t>
      </w:r>
    </w:p>
    <w:p w:rsidR="0083410B" w:rsidRDefault="0083410B" w:rsidP="00D00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410B" w:rsidRPr="0083410B" w:rsidRDefault="0083410B" w:rsidP="008341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41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D00089" w:rsidRPr="008341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8341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Изчисляване на съпротивлението на дифузно преминаване на водна пара на слой строителен материал.</w:t>
      </w:r>
    </w:p>
    <w:p w:rsidR="00D00089" w:rsidRPr="00F643FB" w:rsidRDefault="00D00089" w:rsidP="008341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Съпротивлението на дифузионно преминаване на водна пара (z) в m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hPa/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kg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един слой строителен материал се изчислява за стандартна температура 10 ºС по формулата:</w:t>
      </w:r>
    </w:p>
    <w:p w:rsidR="00D00089" w:rsidRPr="00F643FB" w:rsidRDefault="00D00089" w:rsidP="00D00089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089" w:rsidRPr="00F643FB" w:rsidRDefault="00D00089" w:rsidP="00D00089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</w:rPr>
        <w:object w:dxaOrig="1460" w:dyaOrig="360">
          <v:shape id="_x0000_i1025" type="#_x0000_t75" style="width:73.3pt;height:18.85pt" o:ole="">
            <v:imagedata r:id="rId32" o:title=""/>
          </v:shape>
          <o:OLEObject Type="Embed" ProgID="Equation.3" ShapeID="_x0000_i1025" DrawAspect="Content" ObjectID="_1728028287" r:id="rId33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="0083410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.1),</w:t>
      </w:r>
    </w:p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D00089" w:rsidRPr="00F643FB" w:rsidRDefault="00D00089" w:rsidP="00D00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µ е числото на дифузионно съпротивление на водна пара;</w:t>
      </w:r>
    </w:p>
    <w:p w:rsidR="00D00089" w:rsidRPr="00F643FB" w:rsidRDefault="00D00089" w:rsidP="00D00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d – дебелината на слоя строителен материал, m.</w:t>
      </w:r>
    </w:p>
    <w:p w:rsidR="00D00089" w:rsidRPr="00F643FB" w:rsidRDefault="00D00089" w:rsidP="00D00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няколко слоя строителни материали, подредени един зад друг, съпротивлението на дифузионно преминаване на водна пара z на ограждащата конструкция или елемент се определя по формулата:</w:t>
      </w:r>
    </w:p>
    <w:p w:rsidR="00D00089" w:rsidRPr="00F643FB" w:rsidRDefault="00D00089" w:rsidP="00D00089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089" w:rsidRPr="00F643FB" w:rsidRDefault="00D00089" w:rsidP="00D00089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3760" w:dyaOrig="380">
          <v:shape id="_x0000_i1026" type="#_x0000_t75" style="width:188.15pt;height:18.85pt" o:ole="">
            <v:imagedata r:id="rId34" o:title=""/>
          </v:shape>
          <o:OLEObject Type="Embed" ProgID="Equation.3" ShapeID="_x0000_i1026" DrawAspect="Content" ObjectID="_1728028288" r:id="rId35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="0083410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.2),</w:t>
      </w:r>
    </w:p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D00089" w:rsidRPr="00F643FB" w:rsidRDefault="00D00089" w:rsidP="00D00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, d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,…..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са дебелините на отделните слоеве строителни материали, m;</w:t>
      </w:r>
    </w:p>
    <w:p w:rsidR="00D00089" w:rsidRPr="00F643FB" w:rsidRDefault="00D00089" w:rsidP="00D00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µ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, µ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, ....., µ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съответните числа на дифузионно съпротивление на водна пара съгласно табл. 1 на приложение № 4.</w:t>
      </w:r>
    </w:p>
    <w:p w:rsidR="00D00089" w:rsidRPr="00F643FB" w:rsidRDefault="00D00089" w:rsidP="00D00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2. Плътността на дифузионния</w:t>
      </w:r>
      <w:bookmarkStart w:id="0" w:name="_GoBack"/>
      <w:bookmarkEnd w:id="0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поток на водна пара (g) в 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kg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/(m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h) без кондензационен пад се изчислява по формулата:</w:t>
      </w:r>
    </w:p>
    <w:p w:rsidR="00D00089" w:rsidRPr="00F643FB" w:rsidRDefault="00D00089" w:rsidP="00D00089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089" w:rsidRPr="00F643FB" w:rsidRDefault="00D00089" w:rsidP="00D00089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</w:rPr>
        <w:object w:dxaOrig="1400" w:dyaOrig="639">
          <v:shape id="_x0000_i1027" type="#_x0000_t75" style="width:71.55pt;height:31.7pt" o:ole="">
            <v:imagedata r:id="rId36" o:title=""/>
          </v:shape>
          <o:OLEObject Type="Embed" ProgID="Equation.3" ShapeID="_x0000_i1027" DrawAspect="Content" ObjectID="_1728028289" r:id="rId37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="0083410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.3),</w:t>
      </w:r>
    </w:p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D00089" w:rsidRPr="00F643FB" w:rsidRDefault="00D00089" w:rsidP="00D00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279" w:dyaOrig="360">
          <v:shape id="_x0000_i1028" type="#_x0000_t75" style="width:14.55pt;height:18.85pt" o:ole="">
            <v:imagedata r:id="rId38" o:title=""/>
          </v:shape>
          <o:OLEObject Type="Embed" ProgID="Equation.3" ShapeID="_x0000_i1028" DrawAspect="Content" ObjectID="_1728028290" r:id="rId39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парциалното налягане на вътрешната повърхност на ограждащата конструкция или елемент, 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0089" w:rsidRPr="00F643FB" w:rsidRDefault="00D00089" w:rsidP="008341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300" w:dyaOrig="360">
          <v:shape id="_x0000_i1029" type="#_x0000_t75" style="width:15pt;height:18.85pt" o:ole="">
            <v:imagedata r:id="rId40" o:title=""/>
          </v:shape>
          <o:OLEObject Type="Embed" ProgID="Equation.3" ShapeID="_x0000_i1029" DrawAspect="Content" ObjectID="_1728028291" r:id="rId41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парциалното налягане на външната повърхност на ограждащата конструкция или елемент, 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0089" w:rsidRPr="00F643FB" w:rsidRDefault="0083410B" w:rsidP="008341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r w:rsidR="00D00089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Изчисляването на евентуален кондензационен пад в многослойни ограждащи конструкции и елементи с хомогенни слоеве е показано на фиг.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00089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00089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D00089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End"/>
      <w:r w:rsidR="00D00089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. То се състои в следното:</w:t>
      </w:r>
    </w:p>
    <w:p w:rsidR="00D00089" w:rsidRPr="00F643FB" w:rsidRDefault="0083410B" w:rsidP="008341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r w:rsidR="00D00089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D00089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End"/>
      <w:r w:rsidR="00D00089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Ограждащата конструкция или елемент се изобразява мащабно, като по абсцисата се нанасят слоевете на строителните материали, представени с мащаба на дифузионно-еквивалентните дебелини на въздушните прослойки, определени по </w:t>
      </w:r>
      <w:r w:rsidR="00D00089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формулата </w:t>
      </w:r>
      <w:r w:rsidR="00D00089"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880" w:dyaOrig="360">
          <v:shape id="_x0000_i1030" type="#_x0000_t75" style="width:45pt;height:18.85pt" o:ole="">
            <v:imagedata r:id="rId42" o:title=""/>
          </v:shape>
          <o:OLEObject Type="Embed" ProgID="Equation.3" ShapeID="_x0000_i1030" DrawAspect="Content" ObjectID="_1728028292" r:id="rId43"/>
        </w:object>
      </w:r>
      <w:r w:rsidR="00D00089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, а върху ординатата – температурите на повърхностите на отделните слоеве, определени, както следва:</w:t>
      </w:r>
    </w:p>
    <w:p w:rsidR="00D00089" w:rsidRPr="00F643FB" w:rsidRDefault="0083410B" w:rsidP="008341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D00089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00089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. Температурата на вътрешната повърхност на ограждащата конструкция или елемент (</w:t>
      </w:r>
      <w:r w:rsidR="00D00089"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340" w:dyaOrig="400">
          <v:shape id="_x0000_i1031" type="#_x0000_t75" style="width:15.45pt;height:21.85pt" o:ole="">
            <v:imagedata r:id="rId44" o:title=""/>
          </v:shape>
          <o:OLEObject Type="Embed" ProgID="Equation.3" ShapeID="_x0000_i1031" DrawAspect="Content" ObjectID="_1728028293" r:id="rId45"/>
        </w:object>
      </w:r>
      <w:r w:rsidR="00D00089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) в ºС се определя по формулата:</w:t>
      </w:r>
    </w:p>
    <w:p w:rsidR="00D00089" w:rsidRPr="00F643FB" w:rsidRDefault="00D00089" w:rsidP="00D000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1440" w:dyaOrig="360">
          <v:shape id="_x0000_i1032" type="#_x0000_t75" style="width:1in;height:18.85pt" o:ole="">
            <v:imagedata r:id="rId46" o:title=""/>
          </v:shape>
          <o:OLEObject Type="Embed" ProgID="Equation.3" ShapeID="_x0000_i1032" DrawAspect="Content" ObjectID="_1728028294" r:id="rId47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="0083410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.4),</w:t>
      </w:r>
    </w:p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където: </w:t>
      </w:r>
    </w:p>
    <w:p w:rsidR="00D00089" w:rsidRPr="00F643FB" w:rsidRDefault="00D00089" w:rsidP="00D00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240" w:dyaOrig="360">
          <v:shape id="_x0000_i1033" type="#_x0000_t75" style="width:12pt;height:18.85pt" o:ole="">
            <v:imagedata r:id="rId48" o:title=""/>
          </v:shape>
          <o:OLEObject Type="Embed" ProgID="Equation.3" ShapeID="_x0000_i1033" DrawAspect="Content" ObjectID="_1728028295" r:id="rId49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температурата на вътрешния въздух, 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0"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С;</w:t>
      </w:r>
    </w:p>
    <w:p w:rsidR="00D00089" w:rsidRPr="00F643FB" w:rsidRDefault="00D00089" w:rsidP="00E42B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340" w:dyaOrig="360">
          <v:shape id="_x0000_i1034" type="#_x0000_t75" style="width:15.45pt;height:18.85pt" o:ole="">
            <v:imagedata r:id="rId50" o:title=""/>
          </v:shape>
          <o:OLEObject Type="Embed" ProgID="Equation.3" ShapeID="_x0000_i1034" DrawAspect="Content" ObjectID="_1728028296" r:id="rId51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съпротивлението на топлопредаване на вътрешната повърхност, което се определя съгласно БДС EN ISO 6946;</w:t>
      </w:r>
    </w:p>
    <w:p w:rsidR="00D00089" w:rsidRPr="00F643FB" w:rsidRDefault="00D00089" w:rsidP="00D00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q – плътността на топлинния поток (W/m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), който се определя по формулата:</w:t>
      </w:r>
    </w:p>
    <w:p w:rsidR="00D00089" w:rsidRPr="00F643FB" w:rsidRDefault="00D00089" w:rsidP="00D000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089" w:rsidRPr="00F643FB" w:rsidRDefault="00D00089" w:rsidP="00D000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1380" w:dyaOrig="360">
          <v:shape id="_x0000_i1035" type="#_x0000_t75" style="width:67.7pt;height:18.85pt" o:ole="">
            <v:imagedata r:id="rId52" o:title=""/>
          </v:shape>
          <o:OLEObject Type="Embed" ProgID="Equation.3" ShapeID="_x0000_i1035" DrawAspect="Content" ObjectID="_1728028297" r:id="rId53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="0083410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.5),</w:t>
      </w:r>
    </w:p>
    <w:p w:rsidR="00D00089" w:rsidRPr="00F643FB" w:rsidRDefault="00D00089" w:rsidP="00D000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089" w:rsidRPr="00F643FB" w:rsidRDefault="00D00089" w:rsidP="00D000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 U е коефициентът на топлопреминаване на строителния елемент, W/(m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К).</w:t>
      </w:r>
    </w:p>
    <w:p w:rsidR="00D00089" w:rsidRPr="00F643FB" w:rsidRDefault="00D00089" w:rsidP="00D00089">
      <w:pPr>
        <w:spacing w:after="0" w:line="240" w:lineRule="auto"/>
        <w:ind w:left="72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089" w:rsidRPr="00F643FB" w:rsidRDefault="00D00089" w:rsidP="00D00089">
      <w:pPr>
        <w:spacing w:after="0" w:line="240" w:lineRule="auto"/>
        <w:ind w:left="72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3.1.2. Температурите на границите между отделните хомогенни слоеве във вътрешността на ограждащата конструкция или елемент се определят, както следва:</w:t>
      </w:r>
    </w:p>
    <w:p w:rsidR="00D00089" w:rsidRPr="00F643FB" w:rsidRDefault="00D00089" w:rsidP="00D00089">
      <w:pPr>
        <w:spacing w:after="0" w:line="240" w:lineRule="auto"/>
        <w:ind w:left="72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089" w:rsidRPr="00F643FB" w:rsidRDefault="00D00089" w:rsidP="00D000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position w:val="-66"/>
          <w:sz w:val="24"/>
          <w:szCs w:val="24"/>
        </w:rPr>
        <w:object w:dxaOrig="1520" w:dyaOrig="1440">
          <v:shape id="_x0000_i1036" type="#_x0000_t75" style="width:76.3pt;height:1in" o:ole="">
            <v:imagedata r:id="rId54" o:title=""/>
          </v:shape>
          <o:OLEObject Type="Embed" ProgID="Equation.3" ShapeID="_x0000_i1036" DrawAspect="Content" ObjectID="_1728028298" r:id="rId55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="00E42BA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.6),</w:t>
      </w:r>
    </w:p>
    <w:p w:rsidR="00D00089" w:rsidRPr="00F643FB" w:rsidRDefault="00D00089" w:rsidP="00D000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089" w:rsidRPr="00F643FB" w:rsidRDefault="00D00089" w:rsidP="00D000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</w:t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1160" w:dyaOrig="360">
          <v:shape id="_x0000_i1037" type="#_x0000_t75" style="width:57.85pt;height:18.85pt" o:ole="">
            <v:imagedata r:id="rId56" o:title=""/>
          </v:shape>
          <o:OLEObject Type="Embed" ProgID="Equation.3" ShapeID="_x0000_i1037" DrawAspect="Content" ObjectID="_1728028299" r:id="rId57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 температурите на границите на отделните слоеве (номерирани по посоката на топлинния поток – отвътре навън), 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0"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drawing>
          <wp:inline distT="0" distB="0" distL="0" distR="0" wp14:anchorId="117D14BE" wp14:editId="06917E24">
            <wp:extent cx="4794250" cy="3124200"/>
            <wp:effectExtent l="0" t="0" r="6350" b="0"/>
            <wp:docPr id="434" name="Picture 434" descr="na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nar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89" w:rsidRPr="00E42BA2" w:rsidRDefault="00E42BA2" w:rsidP="00D000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BA2">
        <w:rPr>
          <w:rFonts w:ascii="Times New Roman" w:eastAsia="Times New Roman" w:hAnsi="Times New Roman" w:cs="Times New Roman"/>
          <w:color w:val="000000"/>
          <w:sz w:val="24"/>
          <w:szCs w:val="24"/>
        </w:rPr>
        <w:t>Фиг. 2</w:t>
      </w:r>
      <w:r w:rsidR="00D00089" w:rsidRPr="00E42BA2">
        <w:rPr>
          <w:rFonts w:ascii="Times New Roman" w:eastAsia="Times New Roman" w:hAnsi="Times New Roman" w:cs="Times New Roman"/>
          <w:color w:val="000000"/>
          <w:sz w:val="24"/>
          <w:szCs w:val="24"/>
        </w:rPr>
        <w:t>.1. Схема на кривата на температурното разпределение</w:t>
      </w:r>
    </w:p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089" w:rsidRPr="00F643FB" w:rsidRDefault="00D00089" w:rsidP="00D00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Върху напречното сечение на мащабно изобразените ограждаща конструкция или елемент се нанася диаграмата на максималното налягане на водната пара </w:t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18"/>
          <w:szCs w:val="24"/>
        </w:rPr>
        <w:object w:dxaOrig="540" w:dyaOrig="360">
          <v:shape id="_x0000_i1038" type="#_x0000_t75" style="width:27.85pt;height:18.85pt" o:ole="">
            <v:imagedata r:id="rId59" o:title=""/>
          </v:shape>
          <o:OLEObject Type="Embed" ProgID="Equation.3" ShapeID="_x0000_i1038" DrawAspect="Content" ObjectID="_1728028300" r:id="rId60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, което се отчита от табл. 2</w:t>
      </w:r>
      <w:r w:rsidR="00E42BA2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="006D7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тази част от методиката 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съответствие с температурното разпределение. Ходът на парциалното налягане се представя в 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дифузионната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диаграма с права, която съединява налягането </w:t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279" w:dyaOrig="360">
          <v:shape id="_x0000_i1039" type="#_x0000_t75" style="width:14.55pt;height:18.85pt" o:ole="">
            <v:imagedata r:id="rId38" o:title=""/>
          </v:shape>
          <o:OLEObject Type="Embed" ProgID="Equation.3" ShapeID="_x0000_i1039" DrawAspect="Content" ObjectID="_1728028301" r:id="rId61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налягането </w:t>
      </w: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300" w:dyaOrig="360">
          <v:shape id="_x0000_i1040" type="#_x0000_t75" style="width:15pt;height:18.85pt" o:ole="">
            <v:imagedata r:id="rId40" o:title=""/>
          </v:shape>
          <o:OLEObject Type="Embed" ProgID="Equation.3" ShapeID="_x0000_i1040" DrawAspect="Content" ObjectID="_1728028302" r:id="rId62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двете повърхнини на ограждащата конструкция или елемент.</w:t>
      </w:r>
    </w:p>
    <w:p w:rsidR="00D00089" w:rsidRPr="00F643FB" w:rsidRDefault="00D00089" w:rsidP="00D000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089" w:rsidRPr="00F643FB" w:rsidRDefault="00D00089" w:rsidP="00D000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drawing>
          <wp:inline distT="0" distB="0" distL="0" distR="0" wp14:anchorId="16A0D8A3" wp14:editId="33A3A97A">
            <wp:extent cx="4826000" cy="3517900"/>
            <wp:effectExtent l="0" t="0" r="0" b="6350"/>
            <wp:docPr id="438" name="Picture 438" descr="na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nar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89" w:rsidRPr="006D7583" w:rsidRDefault="006D7583" w:rsidP="00D000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Фиг. 2</w:t>
      </w:r>
      <w:r w:rsidR="00D00089" w:rsidRPr="006D75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D00089" w:rsidRPr="006D758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End"/>
      <w:r w:rsidR="00D00089" w:rsidRPr="006D7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Схема на максималното и парциалното налягане през многослойна ограждаща конструкция или елемент, съответстващи на температурата, за изчисляване на евентуален кондензационен пад </w:t>
      </w:r>
    </w:p>
    <w:p w:rsidR="00D00089" w:rsidRPr="00F643FB" w:rsidRDefault="00D00089" w:rsidP="00D000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089" w:rsidRPr="00F643FB" w:rsidRDefault="00D00089" w:rsidP="00D00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Ако двете линии не се допират или пресичат, не съществуват условия за кондензация на водни пари (при приетите изчислителни параметри на външния и вътрешния въздух (фиг. </w:t>
      </w:r>
      <w:r w:rsidR="006D758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.2).</w:t>
      </w:r>
    </w:p>
    <w:p w:rsidR="00D00089" w:rsidRPr="00F643FB" w:rsidRDefault="00D00089" w:rsidP="006D758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Ако линията, съответстваща на парциалното налягане, допре или пресече линията на максималното налягане, в ограждащата конструкция или елемент съществуват условия за кондензация на водни пари. Възможни са следните случаи:</w:t>
      </w:r>
    </w:p>
    <w:p w:rsidR="00D00089" w:rsidRPr="00F643FB" w:rsidRDefault="006D7583" w:rsidP="006D758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D00089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двете линии се допират в една, две или повече точки (фиг.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00089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00089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.4); в тези случаи е възможен кондензационен пад съответно в една, две или повече равнини (на границата на съответните слоеве);</w:t>
      </w:r>
    </w:p>
    <w:p w:rsidR="00D00089" w:rsidRPr="00F643FB" w:rsidRDefault="006D7583" w:rsidP="00D00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D00089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двете линии се пресичат; в този случай от двете крайни точки на линията на парциалното налягане, намиращи се на вътрешната и външната повърхност на ограждащата конструкция или елемент, се прокарват тангенти към линията на максималното налягане, тъй като парциалното налягане на водната пара не може да бъде по-голямо от максималното налягане; точките на пресичане на тези тангенти с линията на парциалното налягане определят границите на зоната на кондензация, а хоризонталното разстояние между тях – широчината на тази зона (фиг.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00089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.5).</w:t>
      </w:r>
    </w:p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9"/>
        <w:gridCol w:w="386"/>
        <w:gridCol w:w="4243"/>
      </w:tblGrid>
      <w:tr w:rsidR="00D00089" w:rsidRPr="00F643FB" w:rsidTr="008670F6">
        <w:tc>
          <w:tcPr>
            <w:tcW w:w="474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drawing>
                <wp:inline distT="0" distB="0" distL="0" distR="0" wp14:anchorId="28A97301" wp14:editId="07ADC45C">
                  <wp:extent cx="2362200" cy="2628900"/>
                  <wp:effectExtent l="0" t="0" r="0" b="0"/>
                  <wp:docPr id="439" name="Picture 439" descr="f2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f2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089" w:rsidRPr="006D7583" w:rsidRDefault="00D00089" w:rsidP="006D7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Фиг. 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.3а. Дифузия на водната пара с един кондензационен пад в равнината на ограждащата конструкция или елемент (между слоеве 2 и 3)</w:t>
            </w:r>
          </w:p>
        </w:tc>
        <w:tc>
          <w:tcPr>
            <w:tcW w:w="405" w:type="dxa"/>
          </w:tcPr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drawing>
                <wp:inline distT="0" distB="0" distL="0" distR="0" wp14:anchorId="3052AC7A" wp14:editId="6EAFA0DB">
                  <wp:extent cx="2000250" cy="2565400"/>
                  <wp:effectExtent l="0" t="0" r="0" b="6350"/>
                  <wp:docPr id="440" name="Picture 440" descr="f2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f2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56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089" w:rsidRPr="006D7583" w:rsidRDefault="00D00089" w:rsidP="006D7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Фиг. 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.3б. Дифузия на водната пара по време на изпарението след кондензационен пад в равнината на ограждащата конструкция или елемент</w:t>
            </w:r>
          </w:p>
        </w:tc>
      </w:tr>
      <w:tr w:rsidR="00D00089" w:rsidRPr="00F643FB" w:rsidTr="008670F6">
        <w:tc>
          <w:tcPr>
            <w:tcW w:w="4743" w:type="dxa"/>
          </w:tcPr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Плътността на дифузионния поток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i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помещението през ограждащата конструкция или елемент до равнината на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конденза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е: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1620" w:dyaOrig="720">
                <v:shape id="_x0000_i1041" type="#_x0000_t75" style="width:81pt;height:36pt" o:ole="">
                  <v:imagedata r:id="rId66" o:title=""/>
                </v:shape>
                <o:OLEObject Type="Embed" ProgID="Equation.3" ShapeID="_x0000_i1041" DrawAspect="Content" ObjectID="_1728028303" r:id="rId67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(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.7).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Плътността на дифузионния поток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е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равнината на кондензация навън е: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1660" w:dyaOrig="720">
                <v:shape id="_x0000_i1042" type="#_x0000_t75" style="width:84pt;height:36pt" o:ole="">
                  <v:imagedata r:id="rId68" o:title=""/>
                </v:shape>
                <o:OLEObject Type="Embed" ProgID="Equation.3" ShapeID="_x0000_i1042" DrawAspect="Content" ObjectID="_1728028304" r:id="rId69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(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.8).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Количеството кондензирана влага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k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което се отделя в равнината през периода на кондензация, се изчислява по формулата: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12"/>
                <w:sz w:val="24"/>
                <w:szCs w:val="24"/>
              </w:rPr>
              <w:object w:dxaOrig="1560" w:dyaOrig="360">
                <v:shape id="_x0000_i1043" type="#_x0000_t75" style="width:78.85pt;height:18.85pt" o:ole="">
                  <v:imagedata r:id="rId70" o:title=""/>
                </v:shape>
                <o:OLEObject Type="Embed" ProgID="Equation.3" ShapeID="_x0000_i1043" DrawAspect="Content" ObjectID="_1728028305" r:id="rId71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(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.9).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</w:tcPr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</w:tcPr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Плътността на дифузионния поток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i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равнината на кондензация към помещението е: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1620" w:dyaOrig="720">
                <v:shape id="_x0000_i1044" type="#_x0000_t75" style="width:81pt;height:36pt" o:ole="">
                  <v:imagedata r:id="rId72" o:title=""/>
                </v:shape>
                <o:OLEObject Type="Embed" ProgID="Equation.3" ShapeID="_x0000_i1044" DrawAspect="Content" ObjectID="_1728028306" r:id="rId73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(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.10).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Плътността на дифузионния поток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е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равнината на кондензация навън (на открито) е: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1660" w:dyaOrig="720">
                <v:shape id="_x0000_i1045" type="#_x0000_t75" style="width:84pt;height:36pt" o:ole="">
                  <v:imagedata r:id="rId74" o:title=""/>
                </v:shape>
                <o:OLEObject Type="Embed" ProgID="Equation.3" ShapeID="_x0000_i1045" DrawAspect="Content" ObjectID="_1728028307" r:id="rId75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(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.11).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Изпареното количество кондензирана влага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u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което може да се отведе от ограждащата конструкция или елемент през периода на изпаряване, се изчислява, както следва:</w:t>
            </w:r>
          </w:p>
          <w:p w:rsidR="00D00089" w:rsidRPr="00F643FB" w:rsidRDefault="00D00089" w:rsidP="006D7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12"/>
                <w:sz w:val="24"/>
                <w:szCs w:val="24"/>
              </w:rPr>
              <w:object w:dxaOrig="1560" w:dyaOrig="360">
                <v:shape id="_x0000_i1046" type="#_x0000_t75" style="width:78.85pt;height:18.85pt" o:ole="">
                  <v:imagedata r:id="rId76" o:title=""/>
                </v:shape>
                <o:OLEObject Type="Embed" ProgID="Equation.3" ShapeID="_x0000_i1046" DrawAspect="Content" ObjectID="_1728028308" r:id="rId77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(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.12).</w:t>
            </w:r>
          </w:p>
        </w:tc>
      </w:tr>
    </w:tbl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column"/>
      </w:r>
    </w:p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1"/>
        <w:gridCol w:w="340"/>
        <w:gridCol w:w="4407"/>
      </w:tblGrid>
      <w:tr w:rsidR="00D00089" w:rsidRPr="00F643FB" w:rsidTr="008670F6">
        <w:tc>
          <w:tcPr>
            <w:tcW w:w="4607" w:type="dxa"/>
          </w:tcPr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drawing>
                <wp:inline distT="0" distB="0" distL="0" distR="0" wp14:anchorId="62BAD7E9" wp14:editId="34F9E421">
                  <wp:extent cx="2508250" cy="3028950"/>
                  <wp:effectExtent l="0" t="0" r="6350" b="0"/>
                  <wp:docPr id="447" name="Picture 447" descr="f3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f3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0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089" w:rsidRPr="00F643FB" w:rsidRDefault="00D00089" w:rsidP="006D7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Фиг. </w:t>
            </w:r>
            <w:r w:rsidR="006D7583" w:rsidRP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.4а. Дифузия на водната пара с кондензационен пад в две равнини на ограждащата конструкция или елемент (между слоеве 1 и 2 и между слоеве 3 и 4</w:t>
            </w:r>
            <w:r w:rsidRPr="00F64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61" w:type="dxa"/>
          </w:tcPr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5" w:type="dxa"/>
          </w:tcPr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drawing>
                <wp:inline distT="0" distB="0" distL="0" distR="0" wp14:anchorId="71B1A1B3" wp14:editId="46953674">
                  <wp:extent cx="2241550" cy="2851150"/>
                  <wp:effectExtent l="0" t="0" r="6350" b="6350"/>
                  <wp:docPr id="448" name="Picture 448" descr="f3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f3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0" cy="285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089" w:rsidRPr="006D7583" w:rsidRDefault="00D00089" w:rsidP="006D7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Фиг. 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.4б. Дифузия на водната пара по време на изпарението след кондензационен пад в две равнини на ограждащата конструкция или елемент</w:t>
            </w:r>
          </w:p>
        </w:tc>
      </w:tr>
      <w:tr w:rsidR="00D00089" w:rsidRPr="00F643FB" w:rsidTr="008670F6">
        <w:tc>
          <w:tcPr>
            <w:tcW w:w="4607" w:type="dxa"/>
          </w:tcPr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Плътността на дифузионния поток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i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помещението през ограждащата конструкция или елемент до първата равнина на кондензация е: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1680" w:dyaOrig="720">
                <v:shape id="_x0000_i1047" type="#_x0000_t75" style="width:84pt;height:36pt" o:ole="">
                  <v:imagedata r:id="rId80" o:title=""/>
                </v:shape>
                <o:OLEObject Type="Embed" ProgID="Equation.3" ShapeID="_x0000_i1047" DrawAspect="Content" ObjectID="_1728028309" r:id="rId81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(</w:t>
            </w:r>
            <w:r w:rsidR="0061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.13).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Плътността на дифузионния поток g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139" w:dyaOrig="340">
                <v:shape id="_x0000_i1048" type="#_x0000_t75" style="width:6.45pt;height:15.45pt" o:ole="">
                  <v:imagedata r:id="rId82" o:title=""/>
                </v:shape>
                <o:OLEObject Type="Embed" ProgID="Equation.3" ShapeID="_x0000_i1048" DrawAspect="Content" ObjectID="_1728028310" r:id="rId83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 първата и втората равнина на кондензация е: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2120" w:dyaOrig="720">
                <v:shape id="_x0000_i1049" type="#_x0000_t75" style="width:105.85pt;height:36pt" o:ole="">
                  <v:imagedata r:id="rId84" o:title=""/>
                </v:shape>
                <o:OLEObject Type="Embed" ProgID="Equation.3" ShapeID="_x0000_i1049" DrawAspect="Content" ObjectID="_1728028311" r:id="rId85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(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.14).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Плътността на дифузионния поток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е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втората равнина на кондензация навън е: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1700" w:dyaOrig="720">
                <v:shape id="_x0000_i1050" type="#_x0000_t75" style="width:84pt;height:36pt" o:ole="">
                  <v:imagedata r:id="rId86" o:title=""/>
                </v:shape>
                <o:OLEObject Type="Embed" ProgID="Equation.3" ShapeID="_x0000_i1050" DrawAspect="Content" ObjectID="_1728028312" r:id="rId87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(</w:t>
            </w:r>
            <w:r w:rsidR="0061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5).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Количеството кондензирана влага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k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което се образува в равнините 1 и 2 през периода на кондензация, се изчислява по формулите: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12"/>
                <w:sz w:val="24"/>
                <w:szCs w:val="24"/>
              </w:rPr>
              <w:object w:dxaOrig="1620" w:dyaOrig="360">
                <v:shape id="_x0000_i1051" type="#_x0000_t75" style="width:81pt;height:18.85pt" o:ole="">
                  <v:imagedata r:id="rId88" o:title=""/>
                </v:shape>
                <o:OLEObject Type="Embed" ProgID="Equation.3" ShapeID="_x0000_i1051" DrawAspect="Content" ObjectID="_1728028313" r:id="rId89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(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.16),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                                                                                                             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12"/>
                <w:sz w:val="24"/>
                <w:szCs w:val="24"/>
              </w:rPr>
              <w:object w:dxaOrig="1680" w:dyaOrig="360">
                <v:shape id="_x0000_i1052" type="#_x0000_t75" style="width:84pt;height:18.85pt" o:ole="">
                  <v:imagedata r:id="rId90" o:title=""/>
                </v:shape>
                <o:OLEObject Type="Embed" ProgID="Equation.3" ShapeID="_x0000_i1052" DrawAspect="Content" ObjectID="_1728028314" r:id="rId91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="00FB2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(6.17).</w:t>
            </w:r>
          </w:p>
        </w:tc>
        <w:tc>
          <w:tcPr>
            <w:tcW w:w="361" w:type="dxa"/>
          </w:tcPr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5" w:type="dxa"/>
          </w:tcPr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Плътността на дифузионния поток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i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първата равнина на кондензация към помещението е: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1620" w:dyaOrig="660">
                <v:shape id="_x0000_i1053" type="#_x0000_t75" style="width:81pt;height:33.85pt" o:ole="">
                  <v:imagedata r:id="rId92" o:title=""/>
                </v:shape>
                <o:OLEObject Type="Embed" ProgID="Equation.3" ShapeID="_x0000_i1053" DrawAspect="Content" ObjectID="_1728028315" r:id="rId93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(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.18).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Плътността на дифузионния поток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е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втората равнина на кондензация навън (на открито) е: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1660" w:dyaOrig="660">
                <v:shape id="_x0000_i1054" type="#_x0000_t75" style="width:84pt;height:33.85pt" o:ole="">
                  <v:imagedata r:id="rId94" o:title=""/>
                </v:shape>
                <o:OLEObject Type="Embed" ProgID="Equation.3" ShapeID="_x0000_i1054" DrawAspect="Content" ObjectID="_1728028316" r:id="rId95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(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.19).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Изпареното количество кондензирана влага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u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което може да бъде отведено от ограждащата конструкция или елемент през периода на изпаряване, се изчислява, както следва:</w:t>
            </w:r>
          </w:p>
          <w:p w:rsidR="00D00089" w:rsidRPr="00F643FB" w:rsidRDefault="00D00089" w:rsidP="006D7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12"/>
                <w:sz w:val="24"/>
                <w:szCs w:val="24"/>
              </w:rPr>
              <w:object w:dxaOrig="1560" w:dyaOrig="360">
                <v:shape id="_x0000_i1055" type="#_x0000_t75" style="width:78.85pt;height:18.85pt" o:ole="">
                  <v:imagedata r:id="rId96" o:title=""/>
                </v:shape>
                <o:OLEObject Type="Embed" ProgID="Equation.3" ShapeID="_x0000_i1055" DrawAspect="Content" ObjectID="_1728028317" r:id="rId97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(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.20).</w:t>
            </w:r>
          </w:p>
        </w:tc>
      </w:tr>
    </w:tbl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1"/>
        <w:gridCol w:w="310"/>
        <w:gridCol w:w="4477"/>
      </w:tblGrid>
      <w:tr w:rsidR="00D00089" w:rsidRPr="00F643FB" w:rsidTr="008670F6">
        <w:tc>
          <w:tcPr>
            <w:tcW w:w="4608" w:type="dxa"/>
          </w:tcPr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drawing>
                <wp:inline distT="0" distB="0" distL="0" distR="0" wp14:anchorId="6556E5AB" wp14:editId="51B5AFAE">
                  <wp:extent cx="2057400" cy="2774950"/>
                  <wp:effectExtent l="0" t="0" r="0" b="6350"/>
                  <wp:docPr id="458" name="Picture 458" descr="f4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f4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77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089" w:rsidRPr="006D7583" w:rsidRDefault="00D00089" w:rsidP="006D7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Фиг. 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.5а. Дифузия на водната пара с кондензационен пад във вътрешността на ограждащата конструкция или елемент</w:t>
            </w:r>
          </w:p>
        </w:tc>
        <w:tc>
          <w:tcPr>
            <w:tcW w:w="319" w:type="dxa"/>
          </w:tcPr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drawing>
                <wp:inline distT="0" distB="0" distL="0" distR="0" wp14:anchorId="422188E4" wp14:editId="1B8D7523">
                  <wp:extent cx="2146300" cy="2806700"/>
                  <wp:effectExtent l="0" t="0" r="6350" b="0"/>
                  <wp:docPr id="459" name="Picture 459" descr="f4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f4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280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089" w:rsidRPr="006D7583" w:rsidRDefault="00D00089" w:rsidP="006D7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Фиг. 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.5б. Дифузия на водната пара по време на изпаряването след кондензационен пад във вътрешността на ограждащата конструкция или елемент</w:t>
            </w:r>
          </w:p>
        </w:tc>
      </w:tr>
      <w:tr w:rsidR="00D00089" w:rsidRPr="00F643FB" w:rsidTr="008670F6">
        <w:tc>
          <w:tcPr>
            <w:tcW w:w="4608" w:type="dxa"/>
          </w:tcPr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Плътността на дифузионния поток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i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помещението до началото на зоната на кондензация е: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1680" w:dyaOrig="720">
                <v:shape id="_x0000_i1056" type="#_x0000_t75" style="width:84pt;height:36pt" o:ole="">
                  <v:imagedata r:id="rId100" o:title=""/>
                </v:shape>
                <o:OLEObject Type="Embed" ProgID="Equation.3" ShapeID="_x0000_i1056" DrawAspect="Content" ObjectID="_1728028318" r:id="rId101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(6.21).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Плътността на дифузионния поток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е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края на зоната на кондензация навън е: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1740" w:dyaOrig="720">
                <v:shape id="_x0000_i1057" type="#_x0000_t75" style="width:87pt;height:36pt" o:ole="">
                  <v:imagedata r:id="rId102" o:title=""/>
                </v:shape>
                <o:OLEObject Type="Embed" ProgID="Equation.3" ShapeID="_x0000_i1057" DrawAspect="Content" ObjectID="_1728028319" r:id="rId103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(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.22).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Количеството кондензирана влага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k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което се отделя в зоната през периода на кондензация, се изчислява по формулата: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12"/>
                <w:sz w:val="24"/>
                <w:szCs w:val="24"/>
              </w:rPr>
              <w:object w:dxaOrig="1560" w:dyaOrig="360">
                <v:shape id="_x0000_i1058" type="#_x0000_t75" style="width:78.85pt;height:18.85pt" o:ole="">
                  <v:imagedata r:id="rId104" o:title=""/>
                </v:shape>
                <o:OLEObject Type="Embed" ProgID="Equation.3" ShapeID="_x0000_i1058" DrawAspect="Content" ObjectID="_1728028320" r:id="rId105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(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.23).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</w:tcPr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</w:tcPr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Плътността на дифузионния поток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i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средата на зоната на кондензация към помещението е: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1620" w:dyaOrig="720">
                <v:shape id="_x0000_i1059" type="#_x0000_t75" style="width:81pt;height:36pt" o:ole="">
                  <v:imagedata r:id="rId106" o:title=""/>
                </v:shape>
                <o:OLEObject Type="Embed" ProgID="Equation.3" ShapeID="_x0000_i1059" DrawAspect="Content" ObjectID="_1728028321" r:id="rId107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(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.24).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Плътността на дифузионния поток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е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средата на зоната на кондензация навън (на открито) е: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1600" w:dyaOrig="700">
                <v:shape id="_x0000_i1060" type="#_x0000_t75" style="width:80.15pt;height:36pt" o:ole="">
                  <v:imagedata r:id="rId108" o:title=""/>
                </v:shape>
                <o:OLEObject Type="Embed" ProgID="Equation.3" ShapeID="_x0000_i1060" DrawAspect="Content" ObjectID="_1728028322" r:id="rId109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(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.25).</w:t>
            </w:r>
          </w:p>
          <w:p w:rsidR="00D00089" w:rsidRPr="00F643FB" w:rsidRDefault="00D00089" w:rsidP="00D0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Изпареното количество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кондензна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влага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u</w:t>
            </w:r>
            <w:proofErr w:type="spellEnd"/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което може да се отведе от ограждащата конструкция или елемент през периода на изпаряване, се изчислява, както следва:</w:t>
            </w:r>
          </w:p>
          <w:p w:rsidR="00D00089" w:rsidRPr="00F643FB" w:rsidRDefault="00D00089" w:rsidP="006D7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12"/>
                <w:sz w:val="24"/>
                <w:szCs w:val="24"/>
              </w:rPr>
              <w:object w:dxaOrig="1560" w:dyaOrig="360">
                <v:shape id="_x0000_i1061" type="#_x0000_t75" style="width:78.85pt;height:18.85pt" o:ole="">
                  <v:imagedata r:id="rId110" o:title=""/>
                </v:shape>
                <o:OLEObject Type="Embed" ProgID="Equation.3" ShapeID="_x0000_i1061" DrawAspect="Content" ObjectID="_1728028323" r:id="rId111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(</w:t>
            </w:r>
            <w:r w:rsidR="006D7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.26).</w:t>
            </w:r>
          </w:p>
        </w:tc>
      </w:tr>
    </w:tbl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089" w:rsidRPr="00F643FB" w:rsidRDefault="00D00089" w:rsidP="00D00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Нарастването на влажността на материала в зоната на кондензация </w:t>
      </w:r>
      <w:r w:rsidRPr="00F643FB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</w:rPr>
        <w:object w:dxaOrig="520" w:dyaOrig="380">
          <v:shape id="_x0000_i1062" type="#_x0000_t75" style="width:27pt;height:18.85pt" o:ole="">
            <v:imagedata r:id="rId112" o:title=""/>
          </v:shape>
          <o:OLEObject Type="Embed" ProgID="Equation.3" ShapeID="_x0000_i1062" DrawAspect="Content" ObjectID="_1728028324" r:id="rId113"/>
        </w:object>
      </w:r>
      <w:r w:rsidRPr="00F64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в % се изчислява по формулата:</w:t>
      </w:r>
    </w:p>
    <w:p w:rsidR="00D00089" w:rsidRPr="00F643FB" w:rsidRDefault="00D00089" w:rsidP="00D00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position w:val="-30"/>
          <w:sz w:val="24"/>
          <w:szCs w:val="24"/>
        </w:rPr>
        <w:object w:dxaOrig="1480" w:dyaOrig="680">
          <v:shape id="_x0000_i1063" type="#_x0000_t75" style="width:74.15pt;height:33.85pt" o:ole="">
            <v:imagedata r:id="rId114" o:title=""/>
          </v:shape>
          <o:OLEObject Type="Embed" ProgID="Equation.3" ShapeID="_x0000_i1063" DrawAspect="Content" ObjectID="_1728028325" r:id="rId115"/>
        </w:object>
      </w:r>
      <w:r w:rsidR="008670F6" w:rsidRPr="00F643FB">
        <w:rPr>
          <w:rFonts w:ascii="Times New Roman" w:eastAsia="Times New Roman" w:hAnsi="Times New Roman" w:cs="Times New Roman"/>
          <w:color w:val="000000"/>
          <w:position w:val="-30"/>
          <w:sz w:val="24"/>
          <w:szCs w:val="24"/>
        </w:rPr>
        <w:t xml:space="preserve"> 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D7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8670F6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6D758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670F6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.27)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670F6"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D00089" w:rsidRPr="00F643FB" w:rsidRDefault="00D00089" w:rsidP="00D000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bg-BG"/>
        </w:rPr>
        <w:object w:dxaOrig="340" w:dyaOrig="360">
          <v:shape id="_x0000_i1064" type="#_x0000_t75" style="width:15.45pt;height:18.85pt" o:ole="">
            <v:imagedata r:id="rId116" o:title=""/>
          </v:shape>
          <o:OLEObject Type="Embed" ProgID="Equation.3" ShapeID="_x0000_i1064" DrawAspect="Content" ObjectID="_1728028326" r:id="rId117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количеството кондензирана влага, 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kg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/m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  <w:t>2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D00089" w:rsidRPr="00F643FB" w:rsidRDefault="00D00089" w:rsidP="00D000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bg-BG"/>
        </w:rPr>
        <w:object w:dxaOrig="279" w:dyaOrig="340">
          <v:shape id="_x0000_i1065" type="#_x0000_t75" style="width:14.55pt;height:15.45pt" o:ole="">
            <v:imagedata r:id="rId118" o:title=""/>
          </v:shape>
          <o:OLEObject Type="Embed" ProgID="Equation.3" ShapeID="_x0000_i1065" DrawAspect="Content" ObjectID="_1728028327" r:id="rId119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- широчината на зоната на кондензация, m;</w:t>
      </w:r>
    </w:p>
    <w:p w:rsidR="00D00089" w:rsidRPr="00F643FB" w:rsidRDefault="00D00089" w:rsidP="00D00089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ab/>
      </w:r>
      <w:r w:rsidRPr="00F643FB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bg-BG"/>
        </w:rPr>
        <w:object w:dxaOrig="240" w:dyaOrig="260">
          <v:shape id="_x0000_i1066" type="#_x0000_t75" style="width:12pt;height:12pt" o:ole="">
            <v:imagedata r:id="rId120" o:title=""/>
          </v:shape>
          <o:OLEObject Type="Embed" ProgID="Equation.3" ShapeID="_x0000_i1066" DrawAspect="Content" ObjectID="_1728028328" r:id="rId121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- плътността на материала в зоната на кондензация, 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kg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/m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  <w:t>3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D00089" w:rsidRPr="00F643FB" w:rsidRDefault="00D00089" w:rsidP="00D00089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00089" w:rsidRPr="00F643FB" w:rsidRDefault="00D00089" w:rsidP="00E42BA2">
      <w:pPr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Таблица </w:t>
      </w:r>
      <w:r w:rsidR="00E42B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574"/>
        <w:gridCol w:w="574"/>
        <w:gridCol w:w="574"/>
        <w:gridCol w:w="574"/>
        <w:gridCol w:w="574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</w:tblGrid>
      <w:tr w:rsidR="00D00089" w:rsidRPr="00F643FB" w:rsidTr="008670F6">
        <w:trPr>
          <w:cantSplit/>
        </w:trPr>
        <w:tc>
          <w:tcPr>
            <w:tcW w:w="1534" w:type="dxa"/>
            <w:vMerge w:val="restart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Температура на въздуха,</w:t>
            </w:r>
          </w:p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ºС</w:t>
            </w:r>
          </w:p>
        </w:tc>
        <w:tc>
          <w:tcPr>
            <w:tcW w:w="12640" w:type="dxa"/>
            <w:gridSpan w:val="14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 xml:space="preserve">Температура на оросяване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bg-BG"/>
              </w:rPr>
              <w:object w:dxaOrig="260" w:dyaOrig="360">
                <v:shape id="_x0000_i1067" type="#_x0000_t75" style="width:12pt;height:18.85pt" o:ole="">
                  <v:imagedata r:id="rId122" o:title=""/>
                </v:shape>
                <o:OLEObject Type="Embed" ProgID="Equation.3" ShapeID="_x0000_i1067" DrawAspect="Content" ObjectID="_1728028329" r:id="rId123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 xml:space="preserve"> (ºС ) при относителна влажност на въздуха (%)</w:t>
            </w:r>
          </w:p>
        </w:tc>
      </w:tr>
      <w:tr w:rsidR="00D00089" w:rsidRPr="00F643FB" w:rsidTr="008670F6">
        <w:trPr>
          <w:cantSplit/>
        </w:trPr>
        <w:tc>
          <w:tcPr>
            <w:tcW w:w="1534" w:type="dxa"/>
            <w:vMerge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bg-BG"/>
              </w:rPr>
            </w:pP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30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95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30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10,5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12,9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14,9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16,8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22,7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23,9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25,0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26,2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27,2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28,2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29,1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29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9,7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15,9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21,7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24,1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25,2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26,2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27,2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28,1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28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8,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</w:t>
            </w:r>
            <w:proofErr w:type="spellEnd"/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20,8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24,2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25,2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26,2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27,1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27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8,0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15,7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19,9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24,3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25,2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26,1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26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7,1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14,8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18,9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24,2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25,1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25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6,2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13,9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16,7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24,1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24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5,4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12,9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15,8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23,1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4,5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6,7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8,7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14,8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22,2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3,6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5,9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7,8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13,9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21,2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2,8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6,9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12,9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20,2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1,9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7,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</w:t>
            </w:r>
            <w:proofErr w:type="spellEnd"/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10,7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19,2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1,0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6,8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9,8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18,2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0,2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5,9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8,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</w:t>
            </w:r>
            <w:proofErr w:type="spellEnd"/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17,2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-0,6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3,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</w:t>
            </w:r>
            <w:proofErr w:type="spellEnd"/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7,9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16,2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-1,4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0,5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15,2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-2,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</w:t>
            </w:r>
            <w:proofErr w:type="spellEnd"/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-0,3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4,7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14,2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-2,9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-1,0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0,6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3,7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13,2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-3,7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-1,9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-0,1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2,8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5,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</w:t>
            </w:r>
            <w:proofErr w:type="spellEnd"/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6,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</w:t>
            </w:r>
            <w:proofErr w:type="spellEnd"/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7,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</w:t>
            </w:r>
            <w:proofErr w:type="spellEnd"/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8,7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12,2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-4,5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-2,6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-1,0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0,4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1,9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5,7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6,7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7,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</w:t>
            </w:r>
            <w:proofErr w:type="spellEnd"/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8,7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11,2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-5,2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-3,2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-1,8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-0,4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1,0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2,3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3,5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4,7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5,8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6,7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7,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</w:t>
            </w:r>
            <w:proofErr w:type="spellEnd"/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10,2</w:t>
            </w:r>
          </w:p>
        </w:tc>
      </w:tr>
      <w:tr w:rsidR="00D00089" w:rsidRPr="00F643FB" w:rsidTr="008670F6">
        <w:tc>
          <w:tcPr>
            <w:tcW w:w="1534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-6,0</w:t>
            </w:r>
          </w:p>
        </w:tc>
        <w:tc>
          <w:tcPr>
            <w:tcW w:w="90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-4,2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-2,6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-1,2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0,1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3,7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4,8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5,8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6,7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7,6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8,4</w:t>
            </w:r>
          </w:p>
        </w:tc>
        <w:tc>
          <w:tcPr>
            <w:tcW w:w="903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9,2</w:t>
            </w:r>
          </w:p>
        </w:tc>
      </w:tr>
    </w:tbl>
    <w:p w:rsidR="00D00089" w:rsidRPr="00F643FB" w:rsidRDefault="00D00089" w:rsidP="00D00089">
      <w:pPr>
        <w:spacing w:after="0" w:line="240" w:lineRule="auto"/>
        <w:ind w:firstLine="77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00089" w:rsidRPr="00F643FB" w:rsidRDefault="00D00089" w:rsidP="00D00089">
      <w:pPr>
        <w:spacing w:after="0" w:line="240" w:lineRule="auto"/>
        <w:ind w:left="6480"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Таблица 2</w:t>
      </w:r>
      <w:r w:rsidR="006D75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0"/>
        <w:gridCol w:w="792"/>
        <w:gridCol w:w="793"/>
        <w:gridCol w:w="793"/>
        <w:gridCol w:w="792"/>
        <w:gridCol w:w="793"/>
        <w:gridCol w:w="793"/>
        <w:gridCol w:w="793"/>
        <w:gridCol w:w="793"/>
        <w:gridCol w:w="793"/>
        <w:gridCol w:w="793"/>
      </w:tblGrid>
      <w:tr w:rsidR="00D00089" w:rsidRPr="00F643FB" w:rsidTr="008670F6">
        <w:trPr>
          <w:cantSplit/>
          <w:jc w:val="center"/>
        </w:trPr>
        <w:tc>
          <w:tcPr>
            <w:tcW w:w="1388" w:type="dxa"/>
            <w:vMerge w:val="restart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Температура,</w:t>
            </w:r>
          </w:p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ºС</w:t>
            </w:r>
          </w:p>
        </w:tc>
        <w:tc>
          <w:tcPr>
            <w:tcW w:w="8518" w:type="dxa"/>
            <w:gridSpan w:val="10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 xml:space="preserve">Максимално налягане на водната пара </w:t>
            </w:r>
            <w:r w:rsidRPr="00F643FB">
              <w:rPr>
                <w:rFonts w:ascii="Times New Roman" w:eastAsia="Times New Roman" w:hAnsi="Times New Roman" w:cs="Times New Roman"/>
                <w:color w:val="000000"/>
                <w:position w:val="-12"/>
                <w:sz w:val="18"/>
                <w:szCs w:val="24"/>
                <w:lang w:eastAsia="bg-BG"/>
              </w:rPr>
              <w:object w:dxaOrig="480" w:dyaOrig="360">
                <v:shape id="_x0000_i1068" type="#_x0000_t75" style="width:24pt;height:18.85pt" o:ole="">
                  <v:imagedata r:id="rId124" o:title=""/>
                </v:shape>
                <o:OLEObject Type="Embed" ProgID="Equation.3" ShapeID="_x0000_i1068" DrawAspect="Content" ObjectID="_1728028330" r:id="rId125"/>
              </w:object>
            </w: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 xml:space="preserve">, </w:t>
            </w:r>
            <w:proofErr w:type="spellStart"/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Ра</w:t>
            </w:r>
            <w:proofErr w:type="spellEnd"/>
          </w:p>
        </w:tc>
      </w:tr>
      <w:tr w:rsidR="00D00089" w:rsidRPr="00F643FB" w:rsidTr="008670F6">
        <w:trPr>
          <w:cantSplit/>
          <w:jc w:val="center"/>
        </w:trPr>
        <w:tc>
          <w:tcPr>
            <w:tcW w:w="1388" w:type="dxa"/>
            <w:vMerge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bg-BG"/>
              </w:rPr>
            </w:pP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.0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.1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.2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.3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.4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.5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.6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.7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.8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.9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30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4244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4269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4294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4319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4344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4369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4394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4419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4445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4469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29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4006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4030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4053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4077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4101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4124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4148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4172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4196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4219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28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3781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3803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3826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3848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3871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3894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3916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3939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3961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3984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3566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3588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3609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3631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3652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3674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3695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3737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3793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3759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3362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3382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3403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3423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3443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3463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3484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3504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3525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3544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25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3169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3188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3208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3227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3246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3266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3284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3304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3324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3343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24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2985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3003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3021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3040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3059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3077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3095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3114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3132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3151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2810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2827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2845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2863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2880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3897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2915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2932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2950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2968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2645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2661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2678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2695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2711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2727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2744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2761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2777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2794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2487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2504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2518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2535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2551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2566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2582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2598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2613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2629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2340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2354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2369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2384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2399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2413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2428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2443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2457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2473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2197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2212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2227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2241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2254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2268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2283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2297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2310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2324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2065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2079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2091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2105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2119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2132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2145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2158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2172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2185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1937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1950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1963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1976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1988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2001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2014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2027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2039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2052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1818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1830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1841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1854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1866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1878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1889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1901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1914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1926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1706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1717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1729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1739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1750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1762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1773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1784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1795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1806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1599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1610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1621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1631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1642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1653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1663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1674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1684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1695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1498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1508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1518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1528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1538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1548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1559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1569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1578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1588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1403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1413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1431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1441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1451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1460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1470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1479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1488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1312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1321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1330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1340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1349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1358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1367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1375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1385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1394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1228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1237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1245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1254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1262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1270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1279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1287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1296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1304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1148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1156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1163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1171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1179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1187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1195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1203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1211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1218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1073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1081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1088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1096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1103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1110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1117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1125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1133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1140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1002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1008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1023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1030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1038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1045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1052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1059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1066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935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942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949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955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961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968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945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982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988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955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872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878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884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890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896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902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907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913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919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925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813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819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825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831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837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843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849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854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861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866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759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765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770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776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781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787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793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798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803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808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705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710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716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721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727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732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737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743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748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753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657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662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667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672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677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682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687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691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696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700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0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611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621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626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630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635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640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645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648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653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-0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611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605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600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595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592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587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582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577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572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567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-1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562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557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552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547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543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538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534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531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527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522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-2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517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524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509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505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501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496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492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489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484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480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-3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476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472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468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464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461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456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452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448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444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440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437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433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426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423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419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415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412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408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405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-5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401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398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395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391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388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385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282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379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375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372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-6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368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365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362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359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356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353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350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347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343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340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-7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337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336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333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330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327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324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321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318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315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312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-8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310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306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304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301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298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296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294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291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288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286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284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281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279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276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274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272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269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267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264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262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-10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260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258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255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253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251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249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246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244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242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239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-11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237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235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233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231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229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228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226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224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221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219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-12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213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211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202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200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-13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195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190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182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-14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180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178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171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167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-15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165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164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162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161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159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158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157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155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153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152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-16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150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149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146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145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144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142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141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139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138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-17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135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132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131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126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-18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123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122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120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118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115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-19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114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113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112</w:t>
            </w:r>
          </w:p>
        </w:tc>
        <w:tc>
          <w:tcPr>
            <w:tcW w:w="851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111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110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109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107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106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105</w:t>
            </w:r>
          </w:p>
        </w:tc>
        <w:tc>
          <w:tcPr>
            <w:tcW w:w="852" w:type="dxa"/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104</w:t>
            </w:r>
          </w:p>
        </w:tc>
      </w:tr>
      <w:tr w:rsidR="00D00089" w:rsidRPr="00F643FB" w:rsidTr="008670F6">
        <w:trPr>
          <w:jc w:val="center"/>
        </w:trPr>
        <w:tc>
          <w:tcPr>
            <w:tcW w:w="1388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-20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103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102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102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100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99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98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97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95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95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D00089" w:rsidRPr="00F643FB" w:rsidRDefault="00D00089" w:rsidP="00D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</w:pPr>
            <w:r w:rsidRPr="00F643F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bg-BG"/>
              </w:rPr>
              <w:t>94</w:t>
            </w:r>
          </w:p>
        </w:tc>
      </w:tr>
    </w:tbl>
    <w:p w:rsidR="00D00089" w:rsidRPr="00F643FB" w:rsidRDefault="00D00089" w:rsidP="00D0008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00089" w:rsidRPr="00F643FB" w:rsidRDefault="00D00089" w:rsidP="00D00089">
      <w:pPr>
        <w:spacing w:after="0" w:line="240" w:lineRule="auto"/>
        <w:ind w:left="5710" w:firstLine="77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00089" w:rsidRPr="00F643FB" w:rsidRDefault="00D00089" w:rsidP="00D00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Забележка.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Стойностите на максималното налягане на водната пара от табл. 2</w:t>
      </w:r>
      <w:r w:rsidR="006D758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.2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служат за определяне на парциалното налягане (</w:t>
      </w:r>
      <w:r w:rsidRPr="00F643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р)</w: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</w:t>
      </w:r>
      <w:proofErr w:type="spellStart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</w:t>
      </w:r>
      <w:proofErr w:type="spellEnd"/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формулата:</w:t>
      </w:r>
    </w:p>
    <w:p w:rsidR="00D00089" w:rsidRPr="00F643FB" w:rsidRDefault="00D00089" w:rsidP="00D00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00089" w:rsidRPr="00F643FB" w:rsidRDefault="00D00089" w:rsidP="00D000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eastAsia="bg-BG"/>
        </w:rPr>
        <w:object w:dxaOrig="1380" w:dyaOrig="620">
          <v:shape id="_x0000_i1069" type="#_x0000_t75" style="width:67.7pt;height:31.3pt" o:ole="">
            <v:imagedata r:id="rId126" o:title=""/>
          </v:shape>
          <o:OLEObject Type="Embed" ProgID="Equation.3" ShapeID="_x0000_i1069" DrawAspect="Content" ObjectID="_1728028331" r:id="rId127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където </w:t>
      </w:r>
      <w:r w:rsidRPr="00F643FB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bg-BG"/>
        </w:rPr>
        <w:object w:dxaOrig="200" w:dyaOrig="320">
          <v:shape id="_x0000_i1070" type="#_x0000_t75" style="width:9pt;height:15pt" o:ole="">
            <v:imagedata r:id="rId128" o:title=""/>
          </v:shape>
          <o:OLEObject Type="Embed" ProgID="Equation.3" ShapeID="_x0000_i1070" DrawAspect="Content" ObjectID="_1728028332" r:id="rId129"/>
        </w:object>
      </w:r>
      <w:r w:rsidRPr="00F643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относителната влажност на въздуха, %.</w:t>
      </w:r>
    </w:p>
    <w:p w:rsidR="00D00089" w:rsidRPr="00F643FB" w:rsidRDefault="00D00089" w:rsidP="00D00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00089" w:rsidRPr="00F643FB" w:rsidRDefault="00D00089" w:rsidP="00D0008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00089" w:rsidRPr="00F643FB" w:rsidRDefault="00D00089" w:rsidP="00D00089">
      <w:pPr>
        <w:spacing w:after="0" w:line="240" w:lineRule="auto"/>
        <w:ind w:left="5710" w:firstLine="77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00089" w:rsidRPr="00F643FB" w:rsidRDefault="00D00089" w:rsidP="00D00089">
      <w:pPr>
        <w:spacing w:after="0" w:line="240" w:lineRule="auto"/>
        <w:ind w:left="5710" w:firstLine="77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66B07" w:rsidRPr="00F643FB" w:rsidRDefault="00766B07"/>
    <w:sectPr w:rsidR="00766B07" w:rsidRPr="00F64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988"/>
    <w:multiLevelType w:val="hybridMultilevel"/>
    <w:tmpl w:val="49B03EE0"/>
    <w:lvl w:ilvl="0" w:tplc="CB4CA16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0B53C8D"/>
    <w:multiLevelType w:val="multilevel"/>
    <w:tmpl w:val="39C83A5E"/>
    <w:lvl w:ilvl="0">
      <w:start w:val="1"/>
      <w:numFmt w:val="decimal"/>
      <w:suff w:val="space"/>
      <w:lvlText w:val="Глава %1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.%2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284"/>
      </w:pPr>
      <w:rPr>
        <w:rFonts w:cs="Times New Roman" w:hint="default"/>
        <w:b/>
        <w:color w:val="auto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">
    <w:nsid w:val="01165A11"/>
    <w:multiLevelType w:val="hybridMultilevel"/>
    <w:tmpl w:val="B5F4C9A2"/>
    <w:lvl w:ilvl="0" w:tplc="EE5A7F78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B277CF8"/>
    <w:multiLevelType w:val="multilevel"/>
    <w:tmpl w:val="0FB4EC50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4">
    <w:nsid w:val="0D2A31F0"/>
    <w:multiLevelType w:val="hybridMultilevel"/>
    <w:tmpl w:val="0076304A"/>
    <w:lvl w:ilvl="0" w:tplc="CF883012">
      <w:start w:val="2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D37D68"/>
    <w:multiLevelType w:val="hybridMultilevel"/>
    <w:tmpl w:val="9EB87120"/>
    <w:lvl w:ilvl="0" w:tplc="3EC211C8">
      <w:start w:val="1"/>
      <w:numFmt w:val="decimal"/>
      <w:lvlText w:val="%1."/>
      <w:lvlJc w:val="left"/>
      <w:pPr>
        <w:ind w:left="2165" w:hanging="360"/>
      </w:pPr>
      <w:rPr>
        <w:rFonts w:hint="default"/>
        <w:strike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2885" w:hanging="360"/>
      </w:pPr>
    </w:lvl>
    <w:lvl w:ilvl="2" w:tplc="0402001B" w:tentative="1">
      <w:start w:val="1"/>
      <w:numFmt w:val="lowerRoman"/>
      <w:lvlText w:val="%3."/>
      <w:lvlJc w:val="right"/>
      <w:pPr>
        <w:ind w:left="3605" w:hanging="180"/>
      </w:pPr>
    </w:lvl>
    <w:lvl w:ilvl="3" w:tplc="0402000F" w:tentative="1">
      <w:start w:val="1"/>
      <w:numFmt w:val="decimal"/>
      <w:lvlText w:val="%4."/>
      <w:lvlJc w:val="left"/>
      <w:pPr>
        <w:ind w:left="4325" w:hanging="360"/>
      </w:pPr>
    </w:lvl>
    <w:lvl w:ilvl="4" w:tplc="04020019" w:tentative="1">
      <w:start w:val="1"/>
      <w:numFmt w:val="lowerLetter"/>
      <w:lvlText w:val="%5."/>
      <w:lvlJc w:val="left"/>
      <w:pPr>
        <w:ind w:left="5045" w:hanging="360"/>
      </w:pPr>
    </w:lvl>
    <w:lvl w:ilvl="5" w:tplc="0402001B" w:tentative="1">
      <w:start w:val="1"/>
      <w:numFmt w:val="lowerRoman"/>
      <w:lvlText w:val="%6."/>
      <w:lvlJc w:val="right"/>
      <w:pPr>
        <w:ind w:left="5765" w:hanging="180"/>
      </w:pPr>
    </w:lvl>
    <w:lvl w:ilvl="6" w:tplc="0402000F" w:tentative="1">
      <w:start w:val="1"/>
      <w:numFmt w:val="decimal"/>
      <w:lvlText w:val="%7."/>
      <w:lvlJc w:val="left"/>
      <w:pPr>
        <w:ind w:left="6485" w:hanging="360"/>
      </w:pPr>
    </w:lvl>
    <w:lvl w:ilvl="7" w:tplc="04020019" w:tentative="1">
      <w:start w:val="1"/>
      <w:numFmt w:val="lowerLetter"/>
      <w:lvlText w:val="%8."/>
      <w:lvlJc w:val="left"/>
      <w:pPr>
        <w:ind w:left="7205" w:hanging="360"/>
      </w:pPr>
    </w:lvl>
    <w:lvl w:ilvl="8" w:tplc="0402001B" w:tentative="1">
      <w:start w:val="1"/>
      <w:numFmt w:val="lowerRoman"/>
      <w:lvlText w:val="%9."/>
      <w:lvlJc w:val="right"/>
      <w:pPr>
        <w:ind w:left="7925" w:hanging="180"/>
      </w:pPr>
    </w:lvl>
  </w:abstractNum>
  <w:abstractNum w:abstractNumId="6">
    <w:nsid w:val="133625D9"/>
    <w:multiLevelType w:val="hybridMultilevel"/>
    <w:tmpl w:val="6C00B41A"/>
    <w:lvl w:ilvl="0" w:tplc="B584235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683AAF"/>
    <w:multiLevelType w:val="multilevel"/>
    <w:tmpl w:val="14A45E5A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75"/>
        </w:tabs>
        <w:ind w:left="217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10"/>
        </w:tabs>
        <w:ind w:left="4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805"/>
        </w:tabs>
        <w:ind w:left="58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55"/>
        </w:tabs>
        <w:ind w:left="9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305"/>
        </w:tabs>
        <w:ind w:left="133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60"/>
        </w:tabs>
        <w:ind w:left="15360" w:hanging="1800"/>
      </w:pPr>
      <w:rPr>
        <w:rFonts w:hint="default"/>
      </w:rPr>
    </w:lvl>
  </w:abstractNum>
  <w:abstractNum w:abstractNumId="8">
    <w:nsid w:val="161E3A6E"/>
    <w:multiLevelType w:val="singleLevel"/>
    <w:tmpl w:val="7812A8A0"/>
    <w:lvl w:ilvl="0">
      <w:start w:val="6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hint="default"/>
      </w:rPr>
    </w:lvl>
  </w:abstractNum>
  <w:abstractNum w:abstractNumId="9">
    <w:nsid w:val="16D51F32"/>
    <w:multiLevelType w:val="hybridMultilevel"/>
    <w:tmpl w:val="BC8CD8E0"/>
    <w:lvl w:ilvl="0" w:tplc="C3CC0B8E">
      <w:start w:val="2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5" w:hanging="360"/>
      </w:pPr>
    </w:lvl>
    <w:lvl w:ilvl="2" w:tplc="0402001B" w:tentative="1">
      <w:start w:val="1"/>
      <w:numFmt w:val="lowerRoman"/>
      <w:lvlText w:val="%3."/>
      <w:lvlJc w:val="right"/>
      <w:pPr>
        <w:ind w:left="2745" w:hanging="180"/>
      </w:pPr>
    </w:lvl>
    <w:lvl w:ilvl="3" w:tplc="0402000F" w:tentative="1">
      <w:start w:val="1"/>
      <w:numFmt w:val="decimal"/>
      <w:lvlText w:val="%4."/>
      <w:lvlJc w:val="left"/>
      <w:pPr>
        <w:ind w:left="3465" w:hanging="360"/>
      </w:pPr>
    </w:lvl>
    <w:lvl w:ilvl="4" w:tplc="04020019" w:tentative="1">
      <w:start w:val="1"/>
      <w:numFmt w:val="lowerLetter"/>
      <w:lvlText w:val="%5."/>
      <w:lvlJc w:val="left"/>
      <w:pPr>
        <w:ind w:left="4185" w:hanging="360"/>
      </w:pPr>
    </w:lvl>
    <w:lvl w:ilvl="5" w:tplc="0402001B" w:tentative="1">
      <w:start w:val="1"/>
      <w:numFmt w:val="lowerRoman"/>
      <w:lvlText w:val="%6."/>
      <w:lvlJc w:val="right"/>
      <w:pPr>
        <w:ind w:left="4905" w:hanging="180"/>
      </w:pPr>
    </w:lvl>
    <w:lvl w:ilvl="6" w:tplc="0402000F" w:tentative="1">
      <w:start w:val="1"/>
      <w:numFmt w:val="decimal"/>
      <w:lvlText w:val="%7."/>
      <w:lvlJc w:val="left"/>
      <w:pPr>
        <w:ind w:left="5625" w:hanging="360"/>
      </w:pPr>
    </w:lvl>
    <w:lvl w:ilvl="7" w:tplc="04020019" w:tentative="1">
      <w:start w:val="1"/>
      <w:numFmt w:val="lowerLetter"/>
      <w:lvlText w:val="%8."/>
      <w:lvlJc w:val="left"/>
      <w:pPr>
        <w:ind w:left="6345" w:hanging="360"/>
      </w:pPr>
    </w:lvl>
    <w:lvl w:ilvl="8" w:tplc="0402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>
    <w:nsid w:val="192305DC"/>
    <w:multiLevelType w:val="hybridMultilevel"/>
    <w:tmpl w:val="B5C8300C"/>
    <w:lvl w:ilvl="0" w:tplc="0402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1AEF6DBD"/>
    <w:multiLevelType w:val="hybridMultilevel"/>
    <w:tmpl w:val="93664228"/>
    <w:lvl w:ilvl="0" w:tplc="77F200A2">
      <w:start w:val="1"/>
      <w:numFmt w:val="decimal"/>
      <w:lvlText w:val="%1."/>
      <w:lvlJc w:val="left"/>
      <w:pPr>
        <w:tabs>
          <w:tab w:val="num" w:pos="1813"/>
        </w:tabs>
        <w:ind w:left="1813" w:hanging="11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12">
    <w:nsid w:val="1BD61943"/>
    <w:multiLevelType w:val="multilevel"/>
    <w:tmpl w:val="C79C5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F63578B"/>
    <w:multiLevelType w:val="hybridMultilevel"/>
    <w:tmpl w:val="00BEE78C"/>
    <w:lvl w:ilvl="0" w:tplc="972628D2">
      <w:start w:val="1"/>
      <w:numFmt w:val="decimal"/>
      <w:lvlText w:val="%1."/>
      <w:lvlJc w:val="left"/>
      <w:pPr>
        <w:ind w:left="13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4">
    <w:nsid w:val="1F9423BB"/>
    <w:multiLevelType w:val="hybridMultilevel"/>
    <w:tmpl w:val="66706146"/>
    <w:lvl w:ilvl="0" w:tplc="3BE87CDC">
      <w:start w:val="1"/>
      <w:numFmt w:val="decimal"/>
      <w:lvlText w:val="%1."/>
      <w:lvlJc w:val="left"/>
      <w:pPr>
        <w:ind w:left="19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660" w:hanging="360"/>
      </w:pPr>
    </w:lvl>
    <w:lvl w:ilvl="2" w:tplc="0402001B" w:tentative="1">
      <w:start w:val="1"/>
      <w:numFmt w:val="lowerRoman"/>
      <w:lvlText w:val="%3."/>
      <w:lvlJc w:val="right"/>
      <w:pPr>
        <w:ind w:left="3380" w:hanging="180"/>
      </w:pPr>
    </w:lvl>
    <w:lvl w:ilvl="3" w:tplc="0402000F" w:tentative="1">
      <w:start w:val="1"/>
      <w:numFmt w:val="decimal"/>
      <w:lvlText w:val="%4."/>
      <w:lvlJc w:val="left"/>
      <w:pPr>
        <w:ind w:left="4100" w:hanging="360"/>
      </w:pPr>
    </w:lvl>
    <w:lvl w:ilvl="4" w:tplc="04020019" w:tentative="1">
      <w:start w:val="1"/>
      <w:numFmt w:val="lowerLetter"/>
      <w:lvlText w:val="%5."/>
      <w:lvlJc w:val="left"/>
      <w:pPr>
        <w:ind w:left="4820" w:hanging="360"/>
      </w:pPr>
    </w:lvl>
    <w:lvl w:ilvl="5" w:tplc="0402001B" w:tentative="1">
      <w:start w:val="1"/>
      <w:numFmt w:val="lowerRoman"/>
      <w:lvlText w:val="%6."/>
      <w:lvlJc w:val="right"/>
      <w:pPr>
        <w:ind w:left="5540" w:hanging="180"/>
      </w:pPr>
    </w:lvl>
    <w:lvl w:ilvl="6" w:tplc="0402000F" w:tentative="1">
      <w:start w:val="1"/>
      <w:numFmt w:val="decimal"/>
      <w:lvlText w:val="%7."/>
      <w:lvlJc w:val="left"/>
      <w:pPr>
        <w:ind w:left="6260" w:hanging="360"/>
      </w:pPr>
    </w:lvl>
    <w:lvl w:ilvl="7" w:tplc="04020019" w:tentative="1">
      <w:start w:val="1"/>
      <w:numFmt w:val="lowerLetter"/>
      <w:lvlText w:val="%8."/>
      <w:lvlJc w:val="left"/>
      <w:pPr>
        <w:ind w:left="6980" w:hanging="360"/>
      </w:pPr>
    </w:lvl>
    <w:lvl w:ilvl="8" w:tplc="0402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5">
    <w:nsid w:val="20CB3647"/>
    <w:multiLevelType w:val="hybridMultilevel"/>
    <w:tmpl w:val="7F904F44"/>
    <w:lvl w:ilvl="0" w:tplc="92241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4C83522"/>
    <w:multiLevelType w:val="hybridMultilevel"/>
    <w:tmpl w:val="A7F27DBE"/>
    <w:lvl w:ilvl="0" w:tplc="04020017">
      <w:start w:val="1"/>
      <w:numFmt w:val="lowerLetter"/>
      <w:lvlText w:val="%1)"/>
      <w:lvlJc w:val="left"/>
      <w:pPr>
        <w:ind w:left="17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5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3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40" w:hanging="180"/>
      </w:pPr>
      <w:rPr>
        <w:rFonts w:cs="Times New Roman"/>
      </w:rPr>
    </w:lvl>
  </w:abstractNum>
  <w:abstractNum w:abstractNumId="17">
    <w:nsid w:val="27FA6697"/>
    <w:multiLevelType w:val="hybridMultilevel"/>
    <w:tmpl w:val="8206AC06"/>
    <w:lvl w:ilvl="0" w:tplc="CF883012">
      <w:start w:val="2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2FA767D8"/>
    <w:multiLevelType w:val="hybridMultilevel"/>
    <w:tmpl w:val="407061DE"/>
    <w:lvl w:ilvl="0" w:tplc="57468316">
      <w:start w:val="3"/>
      <w:numFmt w:val="decimal"/>
      <w:lvlText w:val="%1."/>
      <w:lvlJc w:val="left"/>
      <w:pPr>
        <w:tabs>
          <w:tab w:val="num" w:pos="1340"/>
        </w:tabs>
        <w:ind w:left="13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60"/>
        </w:tabs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19">
    <w:nsid w:val="34DC1697"/>
    <w:multiLevelType w:val="multilevel"/>
    <w:tmpl w:val="C91E35E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</w:rPr>
    </w:lvl>
  </w:abstractNum>
  <w:abstractNum w:abstractNumId="20">
    <w:nsid w:val="35054B73"/>
    <w:multiLevelType w:val="hybridMultilevel"/>
    <w:tmpl w:val="2054AF86"/>
    <w:lvl w:ilvl="0" w:tplc="D9202E4A">
      <w:start w:val="1"/>
      <w:numFmt w:val="decimal"/>
      <w:lvlText w:val="%1."/>
      <w:lvlJc w:val="left"/>
      <w:pPr>
        <w:ind w:left="19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60" w:hanging="360"/>
      </w:pPr>
    </w:lvl>
    <w:lvl w:ilvl="2" w:tplc="0402001B" w:tentative="1">
      <w:start w:val="1"/>
      <w:numFmt w:val="lowerRoman"/>
      <w:lvlText w:val="%3."/>
      <w:lvlJc w:val="right"/>
      <w:pPr>
        <w:ind w:left="3380" w:hanging="180"/>
      </w:pPr>
    </w:lvl>
    <w:lvl w:ilvl="3" w:tplc="0402000F" w:tentative="1">
      <w:start w:val="1"/>
      <w:numFmt w:val="decimal"/>
      <w:lvlText w:val="%4."/>
      <w:lvlJc w:val="left"/>
      <w:pPr>
        <w:ind w:left="4100" w:hanging="360"/>
      </w:pPr>
    </w:lvl>
    <w:lvl w:ilvl="4" w:tplc="04020019" w:tentative="1">
      <w:start w:val="1"/>
      <w:numFmt w:val="lowerLetter"/>
      <w:lvlText w:val="%5."/>
      <w:lvlJc w:val="left"/>
      <w:pPr>
        <w:ind w:left="4820" w:hanging="360"/>
      </w:pPr>
    </w:lvl>
    <w:lvl w:ilvl="5" w:tplc="0402001B" w:tentative="1">
      <w:start w:val="1"/>
      <w:numFmt w:val="lowerRoman"/>
      <w:lvlText w:val="%6."/>
      <w:lvlJc w:val="right"/>
      <w:pPr>
        <w:ind w:left="5540" w:hanging="180"/>
      </w:pPr>
    </w:lvl>
    <w:lvl w:ilvl="6" w:tplc="0402000F" w:tentative="1">
      <w:start w:val="1"/>
      <w:numFmt w:val="decimal"/>
      <w:lvlText w:val="%7."/>
      <w:lvlJc w:val="left"/>
      <w:pPr>
        <w:ind w:left="6260" w:hanging="360"/>
      </w:pPr>
    </w:lvl>
    <w:lvl w:ilvl="7" w:tplc="04020019" w:tentative="1">
      <w:start w:val="1"/>
      <w:numFmt w:val="lowerLetter"/>
      <w:lvlText w:val="%8."/>
      <w:lvlJc w:val="left"/>
      <w:pPr>
        <w:ind w:left="6980" w:hanging="360"/>
      </w:pPr>
    </w:lvl>
    <w:lvl w:ilvl="8" w:tplc="0402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1">
    <w:nsid w:val="35D31157"/>
    <w:multiLevelType w:val="hybridMultilevel"/>
    <w:tmpl w:val="9D4E4A88"/>
    <w:lvl w:ilvl="0" w:tplc="3E9432E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35ED777F"/>
    <w:multiLevelType w:val="hybridMultilevel"/>
    <w:tmpl w:val="00BEE78C"/>
    <w:lvl w:ilvl="0" w:tplc="972628D2">
      <w:start w:val="1"/>
      <w:numFmt w:val="decimal"/>
      <w:lvlText w:val="%1."/>
      <w:lvlJc w:val="left"/>
      <w:pPr>
        <w:ind w:left="13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3">
    <w:nsid w:val="36686499"/>
    <w:multiLevelType w:val="hybridMultilevel"/>
    <w:tmpl w:val="084CA2F2"/>
    <w:lvl w:ilvl="0" w:tplc="2060786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6941004"/>
    <w:multiLevelType w:val="hybridMultilevel"/>
    <w:tmpl w:val="58845BB2"/>
    <w:lvl w:ilvl="0" w:tplc="3EBC1E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ABA12AF"/>
    <w:multiLevelType w:val="hybridMultilevel"/>
    <w:tmpl w:val="EE6A1374"/>
    <w:lvl w:ilvl="0" w:tplc="8C669AD6">
      <w:start w:val="1"/>
      <w:numFmt w:val="decimal"/>
      <w:lvlText w:val="(%1)"/>
      <w:lvlJc w:val="left"/>
      <w:pPr>
        <w:tabs>
          <w:tab w:val="num" w:pos="1021"/>
        </w:tabs>
        <w:ind w:firstLine="539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AD5653"/>
    <w:multiLevelType w:val="hybridMultilevel"/>
    <w:tmpl w:val="AF4C678A"/>
    <w:lvl w:ilvl="0" w:tplc="D7E406CA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7">
    <w:nsid w:val="4F830F24"/>
    <w:multiLevelType w:val="hybridMultilevel"/>
    <w:tmpl w:val="FDD0C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53D65"/>
    <w:multiLevelType w:val="hybridMultilevel"/>
    <w:tmpl w:val="929A9FF0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A52CA5"/>
    <w:multiLevelType w:val="multilevel"/>
    <w:tmpl w:val="D438FB5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</w:rPr>
    </w:lvl>
  </w:abstractNum>
  <w:abstractNum w:abstractNumId="30">
    <w:nsid w:val="58DD7165"/>
    <w:multiLevelType w:val="multilevel"/>
    <w:tmpl w:val="FAB82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1">
    <w:nsid w:val="59A27249"/>
    <w:multiLevelType w:val="hybridMultilevel"/>
    <w:tmpl w:val="095094E6"/>
    <w:lvl w:ilvl="0" w:tplc="CC5EC4F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>
    <w:nsid w:val="5BBF74BE"/>
    <w:multiLevelType w:val="hybridMultilevel"/>
    <w:tmpl w:val="00BEE78C"/>
    <w:lvl w:ilvl="0" w:tplc="972628D2">
      <w:start w:val="1"/>
      <w:numFmt w:val="decimal"/>
      <w:lvlText w:val="%1."/>
      <w:lvlJc w:val="left"/>
      <w:pPr>
        <w:ind w:left="13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3">
    <w:nsid w:val="5C4A39A4"/>
    <w:multiLevelType w:val="hybridMultilevel"/>
    <w:tmpl w:val="3CBEB070"/>
    <w:lvl w:ilvl="0" w:tplc="54F0EAA8">
      <w:start w:val="2"/>
      <w:numFmt w:val="decimal"/>
      <w:lvlText w:val="(%1)"/>
      <w:lvlJc w:val="left"/>
      <w:pPr>
        <w:tabs>
          <w:tab w:val="num" w:pos="2122"/>
        </w:tabs>
        <w:ind w:left="2122" w:hanging="1140"/>
      </w:pPr>
      <w:rPr>
        <w:rFonts w:hint="default"/>
        <w:color w:val="0000FF"/>
      </w:rPr>
    </w:lvl>
    <w:lvl w:ilvl="1" w:tplc="7EACF844">
      <w:start w:val="1"/>
      <w:numFmt w:val="decimal"/>
      <w:lvlText w:val="%2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782"/>
        </w:tabs>
        <w:ind w:left="278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02"/>
        </w:tabs>
        <w:ind w:left="350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22"/>
        </w:tabs>
        <w:ind w:left="422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42"/>
        </w:tabs>
        <w:ind w:left="494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62"/>
        </w:tabs>
        <w:ind w:left="566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82"/>
        </w:tabs>
        <w:ind w:left="638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02"/>
        </w:tabs>
        <w:ind w:left="7102" w:hanging="180"/>
      </w:pPr>
    </w:lvl>
  </w:abstractNum>
  <w:abstractNum w:abstractNumId="34">
    <w:nsid w:val="60090CAA"/>
    <w:multiLevelType w:val="hybridMultilevel"/>
    <w:tmpl w:val="B3A431B2"/>
    <w:lvl w:ilvl="0" w:tplc="D910F900">
      <w:start w:val="1"/>
      <w:numFmt w:val="decimal"/>
      <w:lvlText w:val="%1."/>
      <w:lvlJc w:val="left"/>
      <w:pPr>
        <w:ind w:left="134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FF"/>
      </w:rPr>
    </w:lvl>
    <w:lvl w:ilvl="1" w:tplc="04020019" w:tentative="1">
      <w:start w:val="1"/>
      <w:numFmt w:val="lowerLetter"/>
      <w:lvlText w:val="%2."/>
      <w:lvlJc w:val="left"/>
      <w:pPr>
        <w:ind w:left="2062" w:hanging="360"/>
      </w:pPr>
    </w:lvl>
    <w:lvl w:ilvl="2" w:tplc="0402001B" w:tentative="1">
      <w:start w:val="1"/>
      <w:numFmt w:val="lowerRoman"/>
      <w:lvlText w:val="%3."/>
      <w:lvlJc w:val="right"/>
      <w:pPr>
        <w:ind w:left="2782" w:hanging="180"/>
      </w:pPr>
    </w:lvl>
    <w:lvl w:ilvl="3" w:tplc="0402000F" w:tentative="1">
      <w:start w:val="1"/>
      <w:numFmt w:val="decimal"/>
      <w:lvlText w:val="%4."/>
      <w:lvlJc w:val="left"/>
      <w:pPr>
        <w:ind w:left="3502" w:hanging="360"/>
      </w:pPr>
    </w:lvl>
    <w:lvl w:ilvl="4" w:tplc="04020019" w:tentative="1">
      <w:start w:val="1"/>
      <w:numFmt w:val="lowerLetter"/>
      <w:lvlText w:val="%5."/>
      <w:lvlJc w:val="left"/>
      <w:pPr>
        <w:ind w:left="4222" w:hanging="360"/>
      </w:pPr>
    </w:lvl>
    <w:lvl w:ilvl="5" w:tplc="0402001B" w:tentative="1">
      <w:start w:val="1"/>
      <w:numFmt w:val="lowerRoman"/>
      <w:lvlText w:val="%6."/>
      <w:lvlJc w:val="right"/>
      <w:pPr>
        <w:ind w:left="4942" w:hanging="180"/>
      </w:pPr>
    </w:lvl>
    <w:lvl w:ilvl="6" w:tplc="0402000F" w:tentative="1">
      <w:start w:val="1"/>
      <w:numFmt w:val="decimal"/>
      <w:lvlText w:val="%7."/>
      <w:lvlJc w:val="left"/>
      <w:pPr>
        <w:ind w:left="5662" w:hanging="360"/>
      </w:pPr>
    </w:lvl>
    <w:lvl w:ilvl="7" w:tplc="04020019" w:tentative="1">
      <w:start w:val="1"/>
      <w:numFmt w:val="lowerLetter"/>
      <w:lvlText w:val="%8."/>
      <w:lvlJc w:val="left"/>
      <w:pPr>
        <w:ind w:left="6382" w:hanging="360"/>
      </w:pPr>
    </w:lvl>
    <w:lvl w:ilvl="8" w:tplc="0402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35">
    <w:nsid w:val="6AEB0BC7"/>
    <w:multiLevelType w:val="hybridMultilevel"/>
    <w:tmpl w:val="3500902C"/>
    <w:lvl w:ilvl="0" w:tplc="6F38528C">
      <w:start w:val="1"/>
      <w:numFmt w:val="decimal"/>
      <w:lvlText w:val="%1."/>
      <w:lvlJc w:val="left"/>
      <w:pPr>
        <w:tabs>
          <w:tab w:val="num" w:pos="2730"/>
        </w:tabs>
        <w:ind w:left="2730" w:hanging="11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6">
    <w:nsid w:val="6D31415C"/>
    <w:multiLevelType w:val="hybridMultilevel"/>
    <w:tmpl w:val="A20AD246"/>
    <w:lvl w:ilvl="0" w:tplc="6186BDE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0C4915"/>
    <w:multiLevelType w:val="hybridMultilevel"/>
    <w:tmpl w:val="9CE0EA2C"/>
    <w:lvl w:ilvl="0" w:tplc="6C60332C">
      <w:start w:val="4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8">
    <w:nsid w:val="77647774"/>
    <w:multiLevelType w:val="hybridMultilevel"/>
    <w:tmpl w:val="AC5A8E22"/>
    <w:lvl w:ilvl="0" w:tplc="16D66D40">
      <w:start w:val="1"/>
      <w:numFmt w:val="decimal"/>
      <w:lvlText w:val="%1."/>
      <w:lvlJc w:val="left"/>
      <w:pPr>
        <w:ind w:left="1592" w:hanging="360"/>
      </w:pPr>
      <w:rPr>
        <w:rFonts w:hint="default"/>
        <w:color w:val="0070C0"/>
      </w:rPr>
    </w:lvl>
    <w:lvl w:ilvl="1" w:tplc="04020019" w:tentative="1">
      <w:start w:val="1"/>
      <w:numFmt w:val="lowerLetter"/>
      <w:lvlText w:val="%2."/>
      <w:lvlJc w:val="left"/>
      <w:pPr>
        <w:ind w:left="2312" w:hanging="360"/>
      </w:pPr>
    </w:lvl>
    <w:lvl w:ilvl="2" w:tplc="0402001B" w:tentative="1">
      <w:start w:val="1"/>
      <w:numFmt w:val="lowerRoman"/>
      <w:lvlText w:val="%3."/>
      <w:lvlJc w:val="right"/>
      <w:pPr>
        <w:ind w:left="3032" w:hanging="180"/>
      </w:pPr>
    </w:lvl>
    <w:lvl w:ilvl="3" w:tplc="0402000F" w:tentative="1">
      <w:start w:val="1"/>
      <w:numFmt w:val="decimal"/>
      <w:lvlText w:val="%4."/>
      <w:lvlJc w:val="left"/>
      <w:pPr>
        <w:ind w:left="3752" w:hanging="360"/>
      </w:pPr>
    </w:lvl>
    <w:lvl w:ilvl="4" w:tplc="04020019" w:tentative="1">
      <w:start w:val="1"/>
      <w:numFmt w:val="lowerLetter"/>
      <w:lvlText w:val="%5."/>
      <w:lvlJc w:val="left"/>
      <w:pPr>
        <w:ind w:left="4472" w:hanging="360"/>
      </w:pPr>
    </w:lvl>
    <w:lvl w:ilvl="5" w:tplc="0402001B" w:tentative="1">
      <w:start w:val="1"/>
      <w:numFmt w:val="lowerRoman"/>
      <w:lvlText w:val="%6."/>
      <w:lvlJc w:val="right"/>
      <w:pPr>
        <w:ind w:left="5192" w:hanging="180"/>
      </w:pPr>
    </w:lvl>
    <w:lvl w:ilvl="6" w:tplc="0402000F" w:tentative="1">
      <w:start w:val="1"/>
      <w:numFmt w:val="decimal"/>
      <w:lvlText w:val="%7."/>
      <w:lvlJc w:val="left"/>
      <w:pPr>
        <w:ind w:left="5912" w:hanging="360"/>
      </w:pPr>
    </w:lvl>
    <w:lvl w:ilvl="7" w:tplc="04020019" w:tentative="1">
      <w:start w:val="1"/>
      <w:numFmt w:val="lowerLetter"/>
      <w:lvlText w:val="%8."/>
      <w:lvlJc w:val="left"/>
      <w:pPr>
        <w:ind w:left="6632" w:hanging="360"/>
      </w:pPr>
    </w:lvl>
    <w:lvl w:ilvl="8" w:tplc="0402001B" w:tentative="1">
      <w:start w:val="1"/>
      <w:numFmt w:val="lowerRoman"/>
      <w:lvlText w:val="%9."/>
      <w:lvlJc w:val="right"/>
      <w:pPr>
        <w:ind w:left="7352" w:hanging="180"/>
      </w:pPr>
    </w:lvl>
  </w:abstractNum>
  <w:num w:numId="1">
    <w:abstractNumId w:val="2"/>
  </w:num>
  <w:num w:numId="2">
    <w:abstractNumId w:val="34"/>
  </w:num>
  <w:num w:numId="3">
    <w:abstractNumId w:val="33"/>
  </w:num>
  <w:num w:numId="4">
    <w:abstractNumId w:val="26"/>
  </w:num>
  <w:num w:numId="5">
    <w:abstractNumId w:val="5"/>
  </w:num>
  <w:num w:numId="6">
    <w:abstractNumId w:val="20"/>
  </w:num>
  <w:num w:numId="7">
    <w:abstractNumId w:val="14"/>
  </w:num>
  <w:num w:numId="8">
    <w:abstractNumId w:val="32"/>
  </w:num>
  <w:num w:numId="9">
    <w:abstractNumId w:val="13"/>
  </w:num>
  <w:num w:numId="10">
    <w:abstractNumId w:val="22"/>
  </w:num>
  <w:num w:numId="11">
    <w:abstractNumId w:val="21"/>
  </w:num>
  <w:num w:numId="12">
    <w:abstractNumId w:val="24"/>
  </w:num>
  <w:num w:numId="13">
    <w:abstractNumId w:val="17"/>
  </w:num>
  <w:num w:numId="14">
    <w:abstractNumId w:val="4"/>
  </w:num>
  <w:num w:numId="15">
    <w:abstractNumId w:val="8"/>
  </w:num>
  <w:num w:numId="16">
    <w:abstractNumId w:val="1"/>
  </w:num>
  <w:num w:numId="17">
    <w:abstractNumId w:val="10"/>
  </w:num>
  <w:num w:numId="18">
    <w:abstractNumId w:val="3"/>
  </w:num>
  <w:num w:numId="19">
    <w:abstractNumId w:val="27"/>
  </w:num>
  <w:num w:numId="20">
    <w:abstractNumId w:val="16"/>
  </w:num>
  <w:num w:numId="21">
    <w:abstractNumId w:val="25"/>
  </w:num>
  <w:num w:numId="22">
    <w:abstractNumId w:val="35"/>
  </w:num>
  <w:num w:numId="23">
    <w:abstractNumId w:val="37"/>
  </w:num>
  <w:num w:numId="24">
    <w:abstractNumId w:val="30"/>
  </w:num>
  <w:num w:numId="25">
    <w:abstractNumId w:val="38"/>
  </w:num>
  <w:num w:numId="26">
    <w:abstractNumId w:val="28"/>
  </w:num>
  <w:num w:numId="27">
    <w:abstractNumId w:val="9"/>
  </w:num>
  <w:num w:numId="28">
    <w:abstractNumId w:val="31"/>
  </w:num>
  <w:num w:numId="29">
    <w:abstractNumId w:val="19"/>
  </w:num>
  <w:num w:numId="30">
    <w:abstractNumId w:val="29"/>
  </w:num>
  <w:num w:numId="31">
    <w:abstractNumId w:val="23"/>
  </w:num>
  <w:num w:numId="32">
    <w:abstractNumId w:val="11"/>
  </w:num>
  <w:num w:numId="33">
    <w:abstractNumId w:val="0"/>
  </w:num>
  <w:num w:numId="34">
    <w:abstractNumId w:val="18"/>
  </w:num>
  <w:num w:numId="35">
    <w:abstractNumId w:val="12"/>
  </w:num>
  <w:num w:numId="36">
    <w:abstractNumId w:val="7"/>
  </w:num>
  <w:num w:numId="37">
    <w:abstractNumId w:val="6"/>
  </w:num>
  <w:num w:numId="38">
    <w:abstractNumId w:val="3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89"/>
    <w:rsid w:val="00614418"/>
    <w:rsid w:val="006D7583"/>
    <w:rsid w:val="00766B07"/>
    <w:rsid w:val="0083410B"/>
    <w:rsid w:val="008670F6"/>
    <w:rsid w:val="00CF75EA"/>
    <w:rsid w:val="00D00089"/>
    <w:rsid w:val="00E42BA2"/>
    <w:rsid w:val="00F643FB"/>
    <w:rsid w:val="00FB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000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0089"/>
    <w:pPr>
      <w:keepNext/>
      <w:spacing w:after="0" w:line="240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0008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0008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0008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0008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7">
    <w:name w:val="heading 7"/>
    <w:basedOn w:val="a"/>
    <w:next w:val="a"/>
    <w:link w:val="70"/>
    <w:uiPriority w:val="99"/>
    <w:qFormat/>
    <w:rsid w:val="00D0008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0"/>
    <w:uiPriority w:val="99"/>
    <w:qFormat/>
    <w:rsid w:val="00D00089"/>
    <w:pPr>
      <w:keepNext/>
      <w:spacing w:after="0" w:line="240" w:lineRule="auto"/>
      <w:ind w:firstLine="765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00089"/>
    <w:pPr>
      <w:keepNext/>
      <w:spacing w:after="0" w:line="240" w:lineRule="auto"/>
      <w:ind w:left="-142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D0008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лавие 2 Знак"/>
    <w:basedOn w:val="a0"/>
    <w:link w:val="2"/>
    <w:uiPriority w:val="99"/>
    <w:rsid w:val="00D0008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лавие 3 Знак"/>
    <w:basedOn w:val="a0"/>
    <w:link w:val="3"/>
    <w:uiPriority w:val="99"/>
    <w:rsid w:val="00D0008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лавие 4 Знак"/>
    <w:basedOn w:val="a0"/>
    <w:link w:val="4"/>
    <w:uiPriority w:val="99"/>
    <w:rsid w:val="00D0008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лавие 5 Знак"/>
    <w:basedOn w:val="a0"/>
    <w:link w:val="5"/>
    <w:uiPriority w:val="99"/>
    <w:rsid w:val="00D0008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basedOn w:val="a0"/>
    <w:link w:val="6"/>
    <w:uiPriority w:val="99"/>
    <w:rsid w:val="00D00089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70">
    <w:name w:val="Заглавие 7 Знак"/>
    <w:basedOn w:val="a0"/>
    <w:link w:val="7"/>
    <w:uiPriority w:val="99"/>
    <w:rsid w:val="00D0008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80">
    <w:name w:val="Заглавие 8 Знак"/>
    <w:basedOn w:val="a0"/>
    <w:link w:val="8"/>
    <w:uiPriority w:val="99"/>
    <w:rsid w:val="00D00089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лавие 9 Знак"/>
    <w:basedOn w:val="a0"/>
    <w:link w:val="9"/>
    <w:uiPriority w:val="99"/>
    <w:rsid w:val="00D00089"/>
    <w:rPr>
      <w:rFonts w:ascii="Times New Roman" w:eastAsia="Times New Roman" w:hAnsi="Times New Roman" w:cs="Times New Roman"/>
      <w:b/>
      <w:sz w:val="24"/>
      <w:szCs w:val="20"/>
      <w:lang w:val="en-US"/>
    </w:rPr>
  </w:style>
  <w:style w:type="numbering" w:customStyle="1" w:styleId="NoList1">
    <w:name w:val="No List1"/>
    <w:next w:val="a2"/>
    <w:uiPriority w:val="99"/>
    <w:semiHidden/>
    <w:unhideWhenUsed/>
    <w:rsid w:val="00D00089"/>
  </w:style>
  <w:style w:type="paragraph" w:customStyle="1" w:styleId="Style">
    <w:name w:val="Style"/>
    <w:rsid w:val="00D0008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rsid w:val="00D00089"/>
    <w:pPr>
      <w:widowControl w:val="0"/>
      <w:autoSpaceDE w:val="0"/>
      <w:autoSpaceDN w:val="0"/>
      <w:adjustRightInd w:val="0"/>
      <w:spacing w:after="0" w:line="240" w:lineRule="auto"/>
      <w:ind w:left="140" w:right="140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customStyle="1" w:styleId="Style5">
    <w:name w:val="Style5"/>
    <w:rsid w:val="00D00089"/>
    <w:pPr>
      <w:widowControl w:val="0"/>
      <w:autoSpaceDE w:val="0"/>
      <w:autoSpaceDN w:val="0"/>
      <w:adjustRightInd w:val="0"/>
      <w:spacing w:after="0" w:line="240" w:lineRule="auto"/>
      <w:ind w:left="140" w:right="140"/>
      <w:jc w:val="center"/>
    </w:pPr>
    <w:rPr>
      <w:rFonts w:ascii="Times New Roman" w:eastAsia="Times New Roman" w:hAnsi="Times New Roman" w:cs="Times New Roman"/>
      <w:sz w:val="30"/>
      <w:szCs w:val="30"/>
      <w:lang w:eastAsia="bg-BG"/>
    </w:rPr>
  </w:style>
  <w:style w:type="paragraph" w:customStyle="1" w:styleId="Style4">
    <w:name w:val="Style4"/>
    <w:rsid w:val="00D0008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center"/>
    </w:pPr>
    <w:rPr>
      <w:rFonts w:ascii="Times New Roman" w:eastAsia="Times New Roman" w:hAnsi="Times New Roman" w:cs="Times New Roman"/>
      <w:sz w:val="30"/>
      <w:szCs w:val="30"/>
      <w:lang w:eastAsia="bg-BG"/>
    </w:rPr>
  </w:style>
  <w:style w:type="paragraph" w:customStyle="1" w:styleId="Style3">
    <w:name w:val="Style3"/>
    <w:rsid w:val="00D0008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i/>
      <w:iCs/>
      <w:sz w:val="30"/>
      <w:szCs w:val="30"/>
      <w:lang w:eastAsia="bg-BG"/>
    </w:rPr>
  </w:style>
  <w:style w:type="paragraph" w:customStyle="1" w:styleId="Style2">
    <w:name w:val="Style2"/>
    <w:rsid w:val="00D00089"/>
    <w:pPr>
      <w:widowControl w:val="0"/>
      <w:autoSpaceDE w:val="0"/>
      <w:autoSpaceDN w:val="0"/>
      <w:adjustRightInd w:val="0"/>
      <w:spacing w:after="0" w:line="240" w:lineRule="auto"/>
      <w:ind w:left="140" w:right="140" w:firstLine="84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">
    <w:name w:val="Style1"/>
    <w:rsid w:val="00D00089"/>
    <w:pPr>
      <w:widowControl w:val="0"/>
      <w:autoSpaceDE w:val="0"/>
      <w:autoSpaceDN w:val="0"/>
      <w:adjustRightInd w:val="0"/>
      <w:spacing w:after="0" w:line="240" w:lineRule="auto"/>
      <w:ind w:left="140" w:right="140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a3">
    <w:name w:val="header"/>
    <w:basedOn w:val="a"/>
    <w:link w:val="a4"/>
    <w:rsid w:val="00D000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Горен колонтитул Знак"/>
    <w:basedOn w:val="a0"/>
    <w:link w:val="a3"/>
    <w:rsid w:val="00D0008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rsid w:val="00D000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D0008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D0008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21">
    <w:name w:val="Body Text 2"/>
    <w:basedOn w:val="a"/>
    <w:link w:val="22"/>
    <w:rsid w:val="00D00089"/>
    <w:pPr>
      <w:spacing w:after="0" w:line="240" w:lineRule="auto"/>
      <w:jc w:val="both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character" w:customStyle="1" w:styleId="22">
    <w:name w:val="Основен текст 2 Знак"/>
    <w:basedOn w:val="a0"/>
    <w:link w:val="21"/>
    <w:rsid w:val="00D00089"/>
    <w:rPr>
      <w:rFonts w:ascii="Times New Roman" w:eastAsia="Times New Roman" w:hAnsi="Times New Roman" w:cs="Times New Roman"/>
      <w:color w:val="FFFF00"/>
      <w:sz w:val="24"/>
      <w:szCs w:val="24"/>
    </w:rPr>
  </w:style>
  <w:style w:type="table" w:styleId="a7">
    <w:name w:val="Table Grid"/>
    <w:basedOn w:val="a1"/>
    <w:rsid w:val="00D00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a"/>
    <w:uiPriority w:val="99"/>
    <w:rsid w:val="00D00089"/>
    <w:pPr>
      <w:spacing w:after="0" w:line="240" w:lineRule="auto"/>
      <w:ind w:firstLine="1200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Plain Text"/>
    <w:basedOn w:val="a"/>
    <w:link w:val="a9"/>
    <w:uiPriority w:val="99"/>
    <w:rsid w:val="00D0008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bg-BG"/>
    </w:rPr>
  </w:style>
  <w:style w:type="character" w:customStyle="1" w:styleId="a9">
    <w:name w:val="Обикновен текст Знак"/>
    <w:basedOn w:val="a0"/>
    <w:link w:val="a8"/>
    <w:uiPriority w:val="99"/>
    <w:rsid w:val="00D00089"/>
    <w:rPr>
      <w:rFonts w:ascii="Courier New" w:eastAsia="Times New Roman" w:hAnsi="Courier New" w:cs="Times New Roman"/>
      <w:sz w:val="20"/>
      <w:szCs w:val="20"/>
      <w:lang w:val="en-GB" w:eastAsia="bg-BG"/>
    </w:rPr>
  </w:style>
  <w:style w:type="character" w:customStyle="1" w:styleId="ldef">
    <w:name w:val="ldef"/>
    <w:basedOn w:val="a0"/>
    <w:rsid w:val="00D00089"/>
  </w:style>
  <w:style w:type="paragraph" w:styleId="aa">
    <w:name w:val="Body Text"/>
    <w:basedOn w:val="a"/>
    <w:link w:val="ab"/>
    <w:rsid w:val="00D0008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ен текст Знак"/>
    <w:basedOn w:val="a0"/>
    <w:link w:val="aa"/>
    <w:rsid w:val="00D00089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ody Text Indent"/>
    <w:basedOn w:val="a"/>
    <w:link w:val="ad"/>
    <w:rsid w:val="00D0008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ен текст с отстъп Знак"/>
    <w:basedOn w:val="a0"/>
    <w:link w:val="ac"/>
    <w:rsid w:val="00D00089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D00089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rsid w:val="00D00089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D000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ен текст 3 Знак"/>
    <w:basedOn w:val="a0"/>
    <w:link w:val="31"/>
    <w:rsid w:val="00D0008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rsid w:val="00D00089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af">
    <w:name w:val="Изнесен текст Знак"/>
    <w:basedOn w:val="a0"/>
    <w:link w:val="ae"/>
    <w:rsid w:val="00D00089"/>
    <w:rPr>
      <w:rFonts w:ascii="Tahoma" w:eastAsia="Times New Roman" w:hAnsi="Tahoma" w:cs="Tahoma"/>
      <w:sz w:val="16"/>
      <w:szCs w:val="16"/>
      <w:lang w:val="en-GB"/>
    </w:rPr>
  </w:style>
  <w:style w:type="paragraph" w:customStyle="1" w:styleId="Heading2">
    <w:name w:val="Heading2"/>
    <w:basedOn w:val="2"/>
    <w:next w:val="a"/>
    <w:rsid w:val="00D00089"/>
    <w:pPr>
      <w:tabs>
        <w:tab w:val="num" w:pos="1125"/>
      </w:tabs>
      <w:spacing w:before="240" w:after="60"/>
      <w:ind w:left="0" w:firstLine="0"/>
    </w:pPr>
    <w:rPr>
      <w:bCs/>
      <w:iCs/>
      <w:sz w:val="28"/>
      <w:szCs w:val="28"/>
      <w:lang w:eastAsia="bg-BG"/>
    </w:rPr>
  </w:style>
  <w:style w:type="paragraph" w:customStyle="1" w:styleId="Heading1">
    <w:name w:val="Heading1"/>
    <w:basedOn w:val="1"/>
    <w:next w:val="a"/>
    <w:rsid w:val="00D00089"/>
    <w:pPr>
      <w:tabs>
        <w:tab w:val="num" w:pos="1125"/>
      </w:tabs>
      <w:spacing w:before="240" w:after="60"/>
      <w:ind w:left="1125" w:hanging="360"/>
      <w:jc w:val="both"/>
    </w:pPr>
    <w:rPr>
      <w:rFonts w:cs="Arial"/>
      <w:bCs/>
      <w:kern w:val="32"/>
      <w:sz w:val="28"/>
      <w:szCs w:val="32"/>
      <w:lang w:eastAsia="bg-BG"/>
    </w:rPr>
  </w:style>
  <w:style w:type="paragraph" w:styleId="af0">
    <w:name w:val="No Spacing"/>
    <w:link w:val="af1"/>
    <w:uiPriority w:val="99"/>
    <w:qFormat/>
    <w:rsid w:val="00D000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1">
    <w:name w:val="Без разредка Знак"/>
    <w:link w:val="af0"/>
    <w:uiPriority w:val="99"/>
    <w:locked/>
    <w:rsid w:val="00D00089"/>
    <w:rPr>
      <w:rFonts w:ascii="Calibri" w:eastAsia="Times New Roman" w:hAnsi="Calibri" w:cs="Times New Roman"/>
      <w:lang w:val="en-US"/>
    </w:rPr>
  </w:style>
  <w:style w:type="paragraph" w:styleId="af2">
    <w:name w:val="List Paragraph"/>
    <w:basedOn w:val="a"/>
    <w:qFormat/>
    <w:rsid w:val="00D00089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styleId="af3">
    <w:name w:val="Emphasis"/>
    <w:qFormat/>
    <w:rsid w:val="00D00089"/>
    <w:rPr>
      <w:i/>
      <w:iCs/>
    </w:rPr>
  </w:style>
  <w:style w:type="paragraph" w:styleId="af4">
    <w:name w:val="annotation text"/>
    <w:basedOn w:val="a"/>
    <w:link w:val="af5"/>
    <w:rsid w:val="00D00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5">
    <w:name w:val="Текст на коментар Знак"/>
    <w:basedOn w:val="a0"/>
    <w:link w:val="af4"/>
    <w:rsid w:val="00D0008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6">
    <w:name w:val="annotation subject"/>
    <w:basedOn w:val="af4"/>
    <w:next w:val="af4"/>
    <w:link w:val="af7"/>
    <w:rsid w:val="00D00089"/>
    <w:rPr>
      <w:b/>
      <w:bCs/>
    </w:rPr>
  </w:style>
  <w:style w:type="character" w:customStyle="1" w:styleId="af7">
    <w:name w:val="Предмет на коментар Знак"/>
    <w:basedOn w:val="af5"/>
    <w:link w:val="af6"/>
    <w:rsid w:val="00D0008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styleId="af8">
    <w:name w:val="page number"/>
    <w:basedOn w:val="a0"/>
    <w:rsid w:val="00D00089"/>
  </w:style>
  <w:style w:type="character" w:customStyle="1" w:styleId="legaldocreference1">
    <w:name w:val="legaldocreference1"/>
    <w:rsid w:val="00D00089"/>
    <w:rPr>
      <w:i w:val="0"/>
      <w:iCs w:val="0"/>
      <w:color w:val="840084"/>
      <w:u w:val="single"/>
    </w:rPr>
  </w:style>
  <w:style w:type="character" w:customStyle="1" w:styleId="newdocreference1">
    <w:name w:val="newdocreference1"/>
    <w:rsid w:val="00D00089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D00089"/>
    <w:rPr>
      <w:i w:val="0"/>
      <w:iCs w:val="0"/>
      <w:color w:val="8B0000"/>
      <w:u w:val="single"/>
    </w:rPr>
  </w:style>
  <w:style w:type="character" w:customStyle="1" w:styleId="samedocreference2">
    <w:name w:val="samedocreference2"/>
    <w:rsid w:val="00D00089"/>
    <w:rPr>
      <w:i w:val="0"/>
      <w:iCs w:val="0"/>
      <w:color w:val="8B0000"/>
      <w:u w:val="single"/>
    </w:rPr>
  </w:style>
  <w:style w:type="character" w:customStyle="1" w:styleId="samedocreference3">
    <w:name w:val="samedocreference3"/>
    <w:rsid w:val="00D00089"/>
    <w:rPr>
      <w:i w:val="0"/>
      <w:iCs w:val="0"/>
      <w:color w:val="8B0000"/>
      <w:u w:val="single"/>
    </w:rPr>
  </w:style>
  <w:style w:type="character" w:customStyle="1" w:styleId="samedocreference4">
    <w:name w:val="samedocreference4"/>
    <w:rsid w:val="00D00089"/>
    <w:rPr>
      <w:i w:val="0"/>
      <w:iCs w:val="0"/>
      <w:color w:val="8B0000"/>
      <w:u w:val="single"/>
    </w:rPr>
  </w:style>
  <w:style w:type="character" w:customStyle="1" w:styleId="samedocreference5">
    <w:name w:val="samedocreference5"/>
    <w:rsid w:val="00D00089"/>
    <w:rPr>
      <w:i w:val="0"/>
      <w:iCs w:val="0"/>
      <w:color w:val="8B0000"/>
      <w:u w:val="single"/>
    </w:rPr>
  </w:style>
  <w:style w:type="character" w:customStyle="1" w:styleId="samedocreference6">
    <w:name w:val="samedocreference6"/>
    <w:rsid w:val="00D00089"/>
    <w:rPr>
      <w:i w:val="0"/>
      <w:iCs w:val="0"/>
      <w:color w:val="8B0000"/>
      <w:u w:val="single"/>
    </w:rPr>
  </w:style>
  <w:style w:type="character" w:customStyle="1" w:styleId="samedocreference7">
    <w:name w:val="samedocreference7"/>
    <w:rsid w:val="00D00089"/>
    <w:rPr>
      <w:i w:val="0"/>
      <w:iCs w:val="0"/>
      <w:color w:val="8B0000"/>
      <w:u w:val="single"/>
    </w:rPr>
  </w:style>
  <w:style w:type="character" w:customStyle="1" w:styleId="samedocreference8">
    <w:name w:val="samedocreference8"/>
    <w:rsid w:val="00D00089"/>
    <w:rPr>
      <w:i w:val="0"/>
      <w:iCs w:val="0"/>
      <w:color w:val="8B0000"/>
      <w:u w:val="single"/>
    </w:rPr>
  </w:style>
  <w:style w:type="paragraph" w:customStyle="1" w:styleId="title12">
    <w:name w:val="title12"/>
    <w:basedOn w:val="a"/>
    <w:rsid w:val="00D00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styleId="11">
    <w:name w:val="toc 1"/>
    <w:basedOn w:val="a"/>
    <w:next w:val="a"/>
    <w:autoRedefine/>
    <w:rsid w:val="00D00089"/>
    <w:pPr>
      <w:spacing w:after="0" w:line="240" w:lineRule="auto"/>
    </w:pPr>
    <w:rPr>
      <w:rFonts w:ascii="Arial" w:eastAsia="Times New Roman" w:hAnsi="Arial" w:cs="Times New Roman"/>
      <w:szCs w:val="20"/>
      <w:lang w:eastAsia="bg-BG"/>
    </w:rPr>
  </w:style>
  <w:style w:type="paragraph" w:styleId="af9">
    <w:name w:val="caption"/>
    <w:basedOn w:val="a"/>
    <w:next w:val="a"/>
    <w:qFormat/>
    <w:rsid w:val="00D00089"/>
    <w:pPr>
      <w:tabs>
        <w:tab w:val="left" w:pos="900"/>
        <w:tab w:val="left" w:pos="8055"/>
      </w:tabs>
      <w:spacing w:after="0" w:line="240" w:lineRule="auto"/>
      <w:jc w:val="both"/>
    </w:pPr>
    <w:rPr>
      <w:rFonts w:ascii="Tahoma" w:eastAsia="Times New Roman" w:hAnsi="Tahoma" w:cs="Times New Roman"/>
      <w:b/>
      <w:sz w:val="20"/>
      <w:szCs w:val="20"/>
      <w:lang w:eastAsia="bg-BG"/>
    </w:rPr>
  </w:style>
  <w:style w:type="table" w:customStyle="1" w:styleId="TableGrid1">
    <w:name w:val="Table Grid1"/>
    <w:basedOn w:val="a1"/>
    <w:next w:val="a7"/>
    <w:uiPriority w:val="99"/>
    <w:rsid w:val="00D00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a2"/>
    <w:semiHidden/>
    <w:rsid w:val="00D00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000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0089"/>
    <w:pPr>
      <w:keepNext/>
      <w:spacing w:after="0" w:line="240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0008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0008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0008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0008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7">
    <w:name w:val="heading 7"/>
    <w:basedOn w:val="a"/>
    <w:next w:val="a"/>
    <w:link w:val="70"/>
    <w:uiPriority w:val="99"/>
    <w:qFormat/>
    <w:rsid w:val="00D0008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0"/>
    <w:uiPriority w:val="99"/>
    <w:qFormat/>
    <w:rsid w:val="00D00089"/>
    <w:pPr>
      <w:keepNext/>
      <w:spacing w:after="0" w:line="240" w:lineRule="auto"/>
      <w:ind w:firstLine="765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00089"/>
    <w:pPr>
      <w:keepNext/>
      <w:spacing w:after="0" w:line="240" w:lineRule="auto"/>
      <w:ind w:left="-142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D0008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лавие 2 Знак"/>
    <w:basedOn w:val="a0"/>
    <w:link w:val="2"/>
    <w:uiPriority w:val="99"/>
    <w:rsid w:val="00D0008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лавие 3 Знак"/>
    <w:basedOn w:val="a0"/>
    <w:link w:val="3"/>
    <w:uiPriority w:val="99"/>
    <w:rsid w:val="00D0008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лавие 4 Знак"/>
    <w:basedOn w:val="a0"/>
    <w:link w:val="4"/>
    <w:uiPriority w:val="99"/>
    <w:rsid w:val="00D0008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лавие 5 Знак"/>
    <w:basedOn w:val="a0"/>
    <w:link w:val="5"/>
    <w:uiPriority w:val="99"/>
    <w:rsid w:val="00D0008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basedOn w:val="a0"/>
    <w:link w:val="6"/>
    <w:uiPriority w:val="99"/>
    <w:rsid w:val="00D00089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70">
    <w:name w:val="Заглавие 7 Знак"/>
    <w:basedOn w:val="a0"/>
    <w:link w:val="7"/>
    <w:uiPriority w:val="99"/>
    <w:rsid w:val="00D0008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80">
    <w:name w:val="Заглавие 8 Знак"/>
    <w:basedOn w:val="a0"/>
    <w:link w:val="8"/>
    <w:uiPriority w:val="99"/>
    <w:rsid w:val="00D00089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лавие 9 Знак"/>
    <w:basedOn w:val="a0"/>
    <w:link w:val="9"/>
    <w:uiPriority w:val="99"/>
    <w:rsid w:val="00D00089"/>
    <w:rPr>
      <w:rFonts w:ascii="Times New Roman" w:eastAsia="Times New Roman" w:hAnsi="Times New Roman" w:cs="Times New Roman"/>
      <w:b/>
      <w:sz w:val="24"/>
      <w:szCs w:val="20"/>
      <w:lang w:val="en-US"/>
    </w:rPr>
  </w:style>
  <w:style w:type="numbering" w:customStyle="1" w:styleId="NoList1">
    <w:name w:val="No List1"/>
    <w:next w:val="a2"/>
    <w:uiPriority w:val="99"/>
    <w:semiHidden/>
    <w:unhideWhenUsed/>
    <w:rsid w:val="00D00089"/>
  </w:style>
  <w:style w:type="paragraph" w:customStyle="1" w:styleId="Style">
    <w:name w:val="Style"/>
    <w:rsid w:val="00D0008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rsid w:val="00D00089"/>
    <w:pPr>
      <w:widowControl w:val="0"/>
      <w:autoSpaceDE w:val="0"/>
      <w:autoSpaceDN w:val="0"/>
      <w:adjustRightInd w:val="0"/>
      <w:spacing w:after="0" w:line="240" w:lineRule="auto"/>
      <w:ind w:left="140" w:right="140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customStyle="1" w:styleId="Style5">
    <w:name w:val="Style5"/>
    <w:rsid w:val="00D00089"/>
    <w:pPr>
      <w:widowControl w:val="0"/>
      <w:autoSpaceDE w:val="0"/>
      <w:autoSpaceDN w:val="0"/>
      <w:adjustRightInd w:val="0"/>
      <w:spacing w:after="0" w:line="240" w:lineRule="auto"/>
      <w:ind w:left="140" w:right="140"/>
      <w:jc w:val="center"/>
    </w:pPr>
    <w:rPr>
      <w:rFonts w:ascii="Times New Roman" w:eastAsia="Times New Roman" w:hAnsi="Times New Roman" w:cs="Times New Roman"/>
      <w:sz w:val="30"/>
      <w:szCs w:val="30"/>
      <w:lang w:eastAsia="bg-BG"/>
    </w:rPr>
  </w:style>
  <w:style w:type="paragraph" w:customStyle="1" w:styleId="Style4">
    <w:name w:val="Style4"/>
    <w:rsid w:val="00D0008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center"/>
    </w:pPr>
    <w:rPr>
      <w:rFonts w:ascii="Times New Roman" w:eastAsia="Times New Roman" w:hAnsi="Times New Roman" w:cs="Times New Roman"/>
      <w:sz w:val="30"/>
      <w:szCs w:val="30"/>
      <w:lang w:eastAsia="bg-BG"/>
    </w:rPr>
  </w:style>
  <w:style w:type="paragraph" w:customStyle="1" w:styleId="Style3">
    <w:name w:val="Style3"/>
    <w:rsid w:val="00D0008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i/>
      <w:iCs/>
      <w:sz w:val="30"/>
      <w:szCs w:val="30"/>
      <w:lang w:eastAsia="bg-BG"/>
    </w:rPr>
  </w:style>
  <w:style w:type="paragraph" w:customStyle="1" w:styleId="Style2">
    <w:name w:val="Style2"/>
    <w:rsid w:val="00D00089"/>
    <w:pPr>
      <w:widowControl w:val="0"/>
      <w:autoSpaceDE w:val="0"/>
      <w:autoSpaceDN w:val="0"/>
      <w:adjustRightInd w:val="0"/>
      <w:spacing w:after="0" w:line="240" w:lineRule="auto"/>
      <w:ind w:left="140" w:right="140" w:firstLine="84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">
    <w:name w:val="Style1"/>
    <w:rsid w:val="00D00089"/>
    <w:pPr>
      <w:widowControl w:val="0"/>
      <w:autoSpaceDE w:val="0"/>
      <w:autoSpaceDN w:val="0"/>
      <w:adjustRightInd w:val="0"/>
      <w:spacing w:after="0" w:line="240" w:lineRule="auto"/>
      <w:ind w:left="140" w:right="140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a3">
    <w:name w:val="header"/>
    <w:basedOn w:val="a"/>
    <w:link w:val="a4"/>
    <w:rsid w:val="00D000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Горен колонтитул Знак"/>
    <w:basedOn w:val="a0"/>
    <w:link w:val="a3"/>
    <w:rsid w:val="00D0008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rsid w:val="00D000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D0008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D0008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21">
    <w:name w:val="Body Text 2"/>
    <w:basedOn w:val="a"/>
    <w:link w:val="22"/>
    <w:rsid w:val="00D00089"/>
    <w:pPr>
      <w:spacing w:after="0" w:line="240" w:lineRule="auto"/>
      <w:jc w:val="both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character" w:customStyle="1" w:styleId="22">
    <w:name w:val="Основен текст 2 Знак"/>
    <w:basedOn w:val="a0"/>
    <w:link w:val="21"/>
    <w:rsid w:val="00D00089"/>
    <w:rPr>
      <w:rFonts w:ascii="Times New Roman" w:eastAsia="Times New Roman" w:hAnsi="Times New Roman" w:cs="Times New Roman"/>
      <w:color w:val="FFFF00"/>
      <w:sz w:val="24"/>
      <w:szCs w:val="24"/>
    </w:rPr>
  </w:style>
  <w:style w:type="table" w:styleId="a7">
    <w:name w:val="Table Grid"/>
    <w:basedOn w:val="a1"/>
    <w:rsid w:val="00D00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a"/>
    <w:uiPriority w:val="99"/>
    <w:rsid w:val="00D00089"/>
    <w:pPr>
      <w:spacing w:after="0" w:line="240" w:lineRule="auto"/>
      <w:ind w:firstLine="1200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Plain Text"/>
    <w:basedOn w:val="a"/>
    <w:link w:val="a9"/>
    <w:uiPriority w:val="99"/>
    <w:rsid w:val="00D0008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bg-BG"/>
    </w:rPr>
  </w:style>
  <w:style w:type="character" w:customStyle="1" w:styleId="a9">
    <w:name w:val="Обикновен текст Знак"/>
    <w:basedOn w:val="a0"/>
    <w:link w:val="a8"/>
    <w:uiPriority w:val="99"/>
    <w:rsid w:val="00D00089"/>
    <w:rPr>
      <w:rFonts w:ascii="Courier New" w:eastAsia="Times New Roman" w:hAnsi="Courier New" w:cs="Times New Roman"/>
      <w:sz w:val="20"/>
      <w:szCs w:val="20"/>
      <w:lang w:val="en-GB" w:eastAsia="bg-BG"/>
    </w:rPr>
  </w:style>
  <w:style w:type="character" w:customStyle="1" w:styleId="ldef">
    <w:name w:val="ldef"/>
    <w:basedOn w:val="a0"/>
    <w:rsid w:val="00D00089"/>
  </w:style>
  <w:style w:type="paragraph" w:styleId="aa">
    <w:name w:val="Body Text"/>
    <w:basedOn w:val="a"/>
    <w:link w:val="ab"/>
    <w:rsid w:val="00D0008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ен текст Знак"/>
    <w:basedOn w:val="a0"/>
    <w:link w:val="aa"/>
    <w:rsid w:val="00D00089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ody Text Indent"/>
    <w:basedOn w:val="a"/>
    <w:link w:val="ad"/>
    <w:rsid w:val="00D0008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ен текст с отстъп Знак"/>
    <w:basedOn w:val="a0"/>
    <w:link w:val="ac"/>
    <w:rsid w:val="00D00089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D00089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rsid w:val="00D00089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D000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ен текст 3 Знак"/>
    <w:basedOn w:val="a0"/>
    <w:link w:val="31"/>
    <w:rsid w:val="00D0008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rsid w:val="00D00089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af">
    <w:name w:val="Изнесен текст Знак"/>
    <w:basedOn w:val="a0"/>
    <w:link w:val="ae"/>
    <w:rsid w:val="00D00089"/>
    <w:rPr>
      <w:rFonts w:ascii="Tahoma" w:eastAsia="Times New Roman" w:hAnsi="Tahoma" w:cs="Tahoma"/>
      <w:sz w:val="16"/>
      <w:szCs w:val="16"/>
      <w:lang w:val="en-GB"/>
    </w:rPr>
  </w:style>
  <w:style w:type="paragraph" w:customStyle="1" w:styleId="Heading2">
    <w:name w:val="Heading2"/>
    <w:basedOn w:val="2"/>
    <w:next w:val="a"/>
    <w:rsid w:val="00D00089"/>
    <w:pPr>
      <w:tabs>
        <w:tab w:val="num" w:pos="1125"/>
      </w:tabs>
      <w:spacing w:before="240" w:after="60"/>
      <w:ind w:left="0" w:firstLine="0"/>
    </w:pPr>
    <w:rPr>
      <w:bCs/>
      <w:iCs/>
      <w:sz w:val="28"/>
      <w:szCs w:val="28"/>
      <w:lang w:eastAsia="bg-BG"/>
    </w:rPr>
  </w:style>
  <w:style w:type="paragraph" w:customStyle="1" w:styleId="Heading1">
    <w:name w:val="Heading1"/>
    <w:basedOn w:val="1"/>
    <w:next w:val="a"/>
    <w:rsid w:val="00D00089"/>
    <w:pPr>
      <w:tabs>
        <w:tab w:val="num" w:pos="1125"/>
      </w:tabs>
      <w:spacing w:before="240" w:after="60"/>
      <w:ind w:left="1125" w:hanging="360"/>
      <w:jc w:val="both"/>
    </w:pPr>
    <w:rPr>
      <w:rFonts w:cs="Arial"/>
      <w:bCs/>
      <w:kern w:val="32"/>
      <w:sz w:val="28"/>
      <w:szCs w:val="32"/>
      <w:lang w:eastAsia="bg-BG"/>
    </w:rPr>
  </w:style>
  <w:style w:type="paragraph" w:styleId="af0">
    <w:name w:val="No Spacing"/>
    <w:link w:val="af1"/>
    <w:uiPriority w:val="99"/>
    <w:qFormat/>
    <w:rsid w:val="00D000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1">
    <w:name w:val="Без разредка Знак"/>
    <w:link w:val="af0"/>
    <w:uiPriority w:val="99"/>
    <w:locked/>
    <w:rsid w:val="00D00089"/>
    <w:rPr>
      <w:rFonts w:ascii="Calibri" w:eastAsia="Times New Roman" w:hAnsi="Calibri" w:cs="Times New Roman"/>
      <w:lang w:val="en-US"/>
    </w:rPr>
  </w:style>
  <w:style w:type="paragraph" w:styleId="af2">
    <w:name w:val="List Paragraph"/>
    <w:basedOn w:val="a"/>
    <w:qFormat/>
    <w:rsid w:val="00D00089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styleId="af3">
    <w:name w:val="Emphasis"/>
    <w:qFormat/>
    <w:rsid w:val="00D00089"/>
    <w:rPr>
      <w:i/>
      <w:iCs/>
    </w:rPr>
  </w:style>
  <w:style w:type="paragraph" w:styleId="af4">
    <w:name w:val="annotation text"/>
    <w:basedOn w:val="a"/>
    <w:link w:val="af5"/>
    <w:rsid w:val="00D00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5">
    <w:name w:val="Текст на коментар Знак"/>
    <w:basedOn w:val="a0"/>
    <w:link w:val="af4"/>
    <w:rsid w:val="00D0008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6">
    <w:name w:val="annotation subject"/>
    <w:basedOn w:val="af4"/>
    <w:next w:val="af4"/>
    <w:link w:val="af7"/>
    <w:rsid w:val="00D00089"/>
    <w:rPr>
      <w:b/>
      <w:bCs/>
    </w:rPr>
  </w:style>
  <w:style w:type="character" w:customStyle="1" w:styleId="af7">
    <w:name w:val="Предмет на коментар Знак"/>
    <w:basedOn w:val="af5"/>
    <w:link w:val="af6"/>
    <w:rsid w:val="00D0008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styleId="af8">
    <w:name w:val="page number"/>
    <w:basedOn w:val="a0"/>
    <w:rsid w:val="00D00089"/>
  </w:style>
  <w:style w:type="character" w:customStyle="1" w:styleId="legaldocreference1">
    <w:name w:val="legaldocreference1"/>
    <w:rsid w:val="00D00089"/>
    <w:rPr>
      <w:i w:val="0"/>
      <w:iCs w:val="0"/>
      <w:color w:val="840084"/>
      <w:u w:val="single"/>
    </w:rPr>
  </w:style>
  <w:style w:type="character" w:customStyle="1" w:styleId="newdocreference1">
    <w:name w:val="newdocreference1"/>
    <w:rsid w:val="00D00089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D00089"/>
    <w:rPr>
      <w:i w:val="0"/>
      <w:iCs w:val="0"/>
      <w:color w:val="8B0000"/>
      <w:u w:val="single"/>
    </w:rPr>
  </w:style>
  <w:style w:type="character" w:customStyle="1" w:styleId="samedocreference2">
    <w:name w:val="samedocreference2"/>
    <w:rsid w:val="00D00089"/>
    <w:rPr>
      <w:i w:val="0"/>
      <w:iCs w:val="0"/>
      <w:color w:val="8B0000"/>
      <w:u w:val="single"/>
    </w:rPr>
  </w:style>
  <w:style w:type="character" w:customStyle="1" w:styleId="samedocreference3">
    <w:name w:val="samedocreference3"/>
    <w:rsid w:val="00D00089"/>
    <w:rPr>
      <w:i w:val="0"/>
      <w:iCs w:val="0"/>
      <w:color w:val="8B0000"/>
      <w:u w:val="single"/>
    </w:rPr>
  </w:style>
  <w:style w:type="character" w:customStyle="1" w:styleId="samedocreference4">
    <w:name w:val="samedocreference4"/>
    <w:rsid w:val="00D00089"/>
    <w:rPr>
      <w:i w:val="0"/>
      <w:iCs w:val="0"/>
      <w:color w:val="8B0000"/>
      <w:u w:val="single"/>
    </w:rPr>
  </w:style>
  <w:style w:type="character" w:customStyle="1" w:styleId="samedocreference5">
    <w:name w:val="samedocreference5"/>
    <w:rsid w:val="00D00089"/>
    <w:rPr>
      <w:i w:val="0"/>
      <w:iCs w:val="0"/>
      <w:color w:val="8B0000"/>
      <w:u w:val="single"/>
    </w:rPr>
  </w:style>
  <w:style w:type="character" w:customStyle="1" w:styleId="samedocreference6">
    <w:name w:val="samedocreference6"/>
    <w:rsid w:val="00D00089"/>
    <w:rPr>
      <w:i w:val="0"/>
      <w:iCs w:val="0"/>
      <w:color w:val="8B0000"/>
      <w:u w:val="single"/>
    </w:rPr>
  </w:style>
  <w:style w:type="character" w:customStyle="1" w:styleId="samedocreference7">
    <w:name w:val="samedocreference7"/>
    <w:rsid w:val="00D00089"/>
    <w:rPr>
      <w:i w:val="0"/>
      <w:iCs w:val="0"/>
      <w:color w:val="8B0000"/>
      <w:u w:val="single"/>
    </w:rPr>
  </w:style>
  <w:style w:type="character" w:customStyle="1" w:styleId="samedocreference8">
    <w:name w:val="samedocreference8"/>
    <w:rsid w:val="00D00089"/>
    <w:rPr>
      <w:i w:val="0"/>
      <w:iCs w:val="0"/>
      <w:color w:val="8B0000"/>
      <w:u w:val="single"/>
    </w:rPr>
  </w:style>
  <w:style w:type="paragraph" w:customStyle="1" w:styleId="title12">
    <w:name w:val="title12"/>
    <w:basedOn w:val="a"/>
    <w:rsid w:val="00D000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styleId="11">
    <w:name w:val="toc 1"/>
    <w:basedOn w:val="a"/>
    <w:next w:val="a"/>
    <w:autoRedefine/>
    <w:rsid w:val="00D00089"/>
    <w:pPr>
      <w:spacing w:after="0" w:line="240" w:lineRule="auto"/>
    </w:pPr>
    <w:rPr>
      <w:rFonts w:ascii="Arial" w:eastAsia="Times New Roman" w:hAnsi="Arial" w:cs="Times New Roman"/>
      <w:szCs w:val="20"/>
      <w:lang w:eastAsia="bg-BG"/>
    </w:rPr>
  </w:style>
  <w:style w:type="paragraph" w:styleId="af9">
    <w:name w:val="caption"/>
    <w:basedOn w:val="a"/>
    <w:next w:val="a"/>
    <w:qFormat/>
    <w:rsid w:val="00D00089"/>
    <w:pPr>
      <w:tabs>
        <w:tab w:val="left" w:pos="900"/>
        <w:tab w:val="left" w:pos="8055"/>
      </w:tabs>
      <w:spacing w:after="0" w:line="240" w:lineRule="auto"/>
      <w:jc w:val="both"/>
    </w:pPr>
    <w:rPr>
      <w:rFonts w:ascii="Tahoma" w:eastAsia="Times New Roman" w:hAnsi="Tahoma" w:cs="Times New Roman"/>
      <w:b/>
      <w:sz w:val="20"/>
      <w:szCs w:val="20"/>
      <w:lang w:eastAsia="bg-BG"/>
    </w:rPr>
  </w:style>
  <w:style w:type="table" w:customStyle="1" w:styleId="TableGrid1">
    <w:name w:val="Table Grid1"/>
    <w:basedOn w:val="a1"/>
    <w:next w:val="a7"/>
    <w:uiPriority w:val="99"/>
    <w:rsid w:val="00D00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a2"/>
    <w:semiHidden/>
    <w:rsid w:val="00D00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5.bin"/><Relationship Id="rId63" Type="http://schemas.openxmlformats.org/officeDocument/2006/relationships/image" Target="media/image25.png"/><Relationship Id="rId68" Type="http://schemas.openxmlformats.org/officeDocument/2006/relationships/image" Target="media/image29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0.wmf"/><Relationship Id="rId37" Type="http://schemas.openxmlformats.org/officeDocument/2006/relationships/oleObject" Target="embeddings/oleObject20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3.png"/><Relationship Id="rId74" Type="http://schemas.openxmlformats.org/officeDocument/2006/relationships/image" Target="media/image32.wmf"/><Relationship Id="rId79" Type="http://schemas.openxmlformats.org/officeDocument/2006/relationships/image" Target="media/image35.png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3.bin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image" Target="media/image26.png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6.wmf"/><Relationship Id="rId126" Type="http://schemas.openxmlformats.org/officeDocument/2006/relationships/image" Target="media/image60.wmf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72" Type="http://schemas.openxmlformats.org/officeDocument/2006/relationships/image" Target="media/image31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5.png"/><Relationship Id="rId121" Type="http://schemas.openxmlformats.org/officeDocument/2006/relationships/oleObject" Target="embeddings/oleObject59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8.bin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image" Target="media/image24.wmf"/><Relationship Id="rId67" Type="http://schemas.openxmlformats.org/officeDocument/2006/relationships/oleObject" Target="embeddings/oleObject34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3.bin"/><Relationship Id="rId20" Type="http://schemas.openxmlformats.org/officeDocument/2006/relationships/image" Target="media/image7.wmf"/><Relationship Id="rId41" Type="http://schemas.openxmlformats.org/officeDocument/2006/relationships/oleObject" Target="embeddings/oleObject22.bin"/><Relationship Id="rId54" Type="http://schemas.openxmlformats.org/officeDocument/2006/relationships/image" Target="media/image21.wmf"/><Relationship Id="rId62" Type="http://schemas.openxmlformats.org/officeDocument/2006/relationships/oleObject" Target="embeddings/oleObject33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2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7.bin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oleObject" Target="embeddings/oleObject31.bin"/><Relationship Id="rId65" Type="http://schemas.openxmlformats.org/officeDocument/2006/relationships/image" Target="media/image27.png"/><Relationship Id="rId73" Type="http://schemas.openxmlformats.org/officeDocument/2006/relationships/oleObject" Target="embeddings/oleObject37.bin"/><Relationship Id="rId78" Type="http://schemas.openxmlformats.org/officeDocument/2006/relationships/image" Target="media/image34.png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image" Target="media/image46.png"/><Relationship Id="rId101" Type="http://schemas.openxmlformats.org/officeDocument/2006/relationships/oleObject" Target="embeddings/oleObject49.bin"/><Relationship Id="rId122" Type="http://schemas.openxmlformats.org/officeDocument/2006/relationships/image" Target="media/image58.wmf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21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1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9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4" Type="http://schemas.openxmlformats.org/officeDocument/2006/relationships/image" Target="media/image9.wmf"/><Relationship Id="rId40" Type="http://schemas.openxmlformats.org/officeDocument/2006/relationships/image" Target="media/image14.wmf"/><Relationship Id="rId45" Type="http://schemas.openxmlformats.org/officeDocument/2006/relationships/oleObject" Target="embeddings/oleObject24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6.bin"/><Relationship Id="rId131" Type="http://schemas.openxmlformats.org/officeDocument/2006/relationships/theme" Target="theme/theme1.xml"/><Relationship Id="rId61" Type="http://schemas.openxmlformats.org/officeDocument/2006/relationships/oleObject" Target="embeddings/oleObject32.bin"/><Relationship Id="rId82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2799</Words>
  <Characters>15956</Characters>
  <Application>Microsoft Office Word</Application>
  <DocSecurity>0</DocSecurity>
  <Lines>132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Regional Development and Public Works</Company>
  <LinksUpToDate>false</LinksUpToDate>
  <CharactersWithSpaces>18718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LYUBOMIROVA TOMOVA</dc:creator>
  <cp:keywords/>
  <dc:description/>
  <cp:lastModifiedBy>Марги</cp:lastModifiedBy>
  <cp:revision>7</cp:revision>
  <cp:lastPrinted>2022-10-21T11:25:00Z</cp:lastPrinted>
  <dcterms:created xsi:type="dcterms:W3CDTF">2022-10-21T11:23:00Z</dcterms:created>
  <dcterms:modified xsi:type="dcterms:W3CDTF">2022-10-23T07:57:00Z</dcterms:modified>
</cp:coreProperties>
</file>